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411F" w14:textId="77777777" w:rsidR="00A00E1A" w:rsidRPr="00A00E1A" w:rsidRDefault="00A00E1A" w:rsidP="00A00E1A">
      <w:pPr>
        <w:rPr>
          <w:b/>
          <w:bCs/>
          <w:color w:val="000000" w:themeColor="text1"/>
        </w:rPr>
      </w:pPr>
      <w:r w:rsidRPr="00A00E1A">
        <w:rPr>
          <w:b/>
          <w:bCs/>
          <w:color w:val="000000" w:themeColor="text1"/>
        </w:rPr>
        <w:t>Business Case example</w:t>
      </w:r>
    </w:p>
    <w:p w14:paraId="5C4221A5" w14:textId="77777777" w:rsidR="00A00E1A" w:rsidRPr="005660CA" w:rsidRDefault="00A00E1A" w:rsidP="00A00E1A">
      <w:pPr>
        <w:rPr>
          <w:b/>
          <w:bCs/>
          <w:color w:val="000000" w:themeColor="text1"/>
        </w:rPr>
      </w:pPr>
      <w:r w:rsidRPr="005660CA">
        <w:rPr>
          <w:b/>
          <w:bCs/>
          <w:color w:val="000000" w:themeColor="text1"/>
        </w:rPr>
        <w:t>Benefits of investing in the training of a Health Care Assistant to come a Nursing Associate </w:t>
      </w:r>
    </w:p>
    <w:p w14:paraId="7011998B" w14:textId="77777777" w:rsidR="00A00E1A" w:rsidRPr="00A00E1A" w:rsidRDefault="00A00E1A" w:rsidP="00A00E1A">
      <w:pPr>
        <w:rPr>
          <w:color w:val="000000" w:themeColor="text1"/>
        </w:rPr>
      </w:pPr>
      <w:r w:rsidRPr="00A00E1A">
        <w:rPr>
          <w:color w:val="000000" w:themeColor="text1"/>
        </w:rPr>
        <w:t>1. Executive Summary: </w:t>
      </w:r>
    </w:p>
    <w:p w14:paraId="6E3C6B32" w14:textId="77777777" w:rsidR="00A00E1A" w:rsidRPr="00A00E1A" w:rsidRDefault="00A00E1A" w:rsidP="00A00E1A">
      <w:pPr>
        <w:numPr>
          <w:ilvl w:val="0"/>
          <w:numId w:val="1"/>
        </w:numPr>
        <w:rPr>
          <w:color w:val="000000" w:themeColor="text1"/>
        </w:rPr>
      </w:pPr>
      <w:r w:rsidRPr="00A00E1A">
        <w:rPr>
          <w:color w:val="000000" w:themeColor="text1"/>
        </w:rPr>
        <w:t>The purpose of this document is to highlight the opportunity to enhance workforce capabilities by supporting a Health Care Assistant to become a Nursing Associate. </w:t>
      </w:r>
    </w:p>
    <w:p w14:paraId="1EE94731" w14:textId="77777777" w:rsidR="00A00E1A" w:rsidRPr="00A00E1A" w:rsidRDefault="00A00E1A" w:rsidP="00A00E1A">
      <w:pPr>
        <w:rPr>
          <w:color w:val="000000" w:themeColor="text1"/>
        </w:rPr>
      </w:pPr>
      <w:r w:rsidRPr="00A00E1A">
        <w:rPr>
          <w:color w:val="000000" w:themeColor="text1"/>
        </w:rPr>
        <w:t>2. Background: </w:t>
      </w:r>
    </w:p>
    <w:p w14:paraId="765CD72C" w14:textId="77777777" w:rsidR="00A00E1A" w:rsidRPr="00A00E1A" w:rsidRDefault="00A00E1A" w:rsidP="00A00E1A">
      <w:pPr>
        <w:numPr>
          <w:ilvl w:val="0"/>
          <w:numId w:val="2"/>
        </w:numPr>
        <w:rPr>
          <w:color w:val="000000" w:themeColor="text1"/>
        </w:rPr>
      </w:pPr>
      <w:r w:rsidRPr="00A00E1A">
        <w:rPr>
          <w:color w:val="000000" w:themeColor="text1"/>
        </w:rPr>
        <w:t>The role of the Nursing Associate (NA) was introduced in 2017 to bridge the gap between Health Care Assistant (HCA)/ Health Care Support Worker (HCSW) and Registered Nurse (RN) and help meet the changing health and care needs of patients and the public. NA is a stand-alone role as well as also providing a route to RN.</w:t>
      </w:r>
      <w:r w:rsidRPr="00A00E1A">
        <w:rPr>
          <w:rFonts w:ascii="Arial" w:hAnsi="Arial" w:cs="Arial"/>
          <w:color w:val="000000" w:themeColor="text1"/>
        </w:rPr>
        <w:t> </w:t>
      </w:r>
      <w:r w:rsidRPr="00A00E1A">
        <w:rPr>
          <w:color w:val="000000" w:themeColor="text1"/>
        </w:rPr>
        <w:t>For more information:</w:t>
      </w:r>
      <w:r w:rsidRPr="00A00E1A">
        <w:rPr>
          <w:rFonts w:ascii="Aptos" w:hAnsi="Aptos" w:cs="Aptos"/>
          <w:color w:val="000000" w:themeColor="text1"/>
        </w:rPr>
        <w:t> </w:t>
      </w:r>
      <w:hyperlink r:id="rId7" w:tgtFrame="_blank" w:history="1">
        <w:r w:rsidRPr="00A00E1A">
          <w:rPr>
            <w:rStyle w:val="Hyperlink"/>
            <w:color w:val="000000" w:themeColor="text1"/>
          </w:rPr>
          <w:t>Welcome to the Student Nursing Associate Hub | NHS England | Workforce, training and education</w:t>
        </w:r>
      </w:hyperlink>
      <w:r w:rsidRPr="00A00E1A">
        <w:rPr>
          <w:color w:val="000000" w:themeColor="text1"/>
        </w:rPr>
        <w:t> </w:t>
      </w:r>
    </w:p>
    <w:p w14:paraId="62B7B1E9" w14:textId="77777777" w:rsidR="00A00E1A" w:rsidRPr="00A00E1A" w:rsidRDefault="00A00E1A" w:rsidP="00A00E1A">
      <w:pPr>
        <w:numPr>
          <w:ilvl w:val="0"/>
          <w:numId w:val="3"/>
        </w:numPr>
        <w:rPr>
          <w:color w:val="000000" w:themeColor="text1"/>
        </w:rPr>
      </w:pPr>
      <w:r w:rsidRPr="00A00E1A">
        <w:rPr>
          <w:color w:val="000000" w:themeColor="text1"/>
        </w:rPr>
        <w:t>Introducing the NA role to assist with succession planning (</w:t>
      </w:r>
      <w:r w:rsidRPr="00A00E1A">
        <w:rPr>
          <w:i/>
          <w:iCs/>
          <w:color w:val="000000" w:themeColor="text1"/>
        </w:rPr>
        <w:t>ADD HERE PLANS FOR RETIREMENT/ NURSES LEAVING ETC),</w:t>
      </w:r>
      <w:r w:rsidRPr="00A00E1A">
        <w:rPr>
          <w:color w:val="000000" w:themeColor="text1"/>
        </w:rPr>
        <w:t> and the continuation of excellent patient care is vital that junior staff are developed to take on these roles.   </w:t>
      </w:r>
    </w:p>
    <w:p w14:paraId="3C312C75" w14:textId="77777777" w:rsidR="00A00E1A" w:rsidRPr="00A00E1A" w:rsidRDefault="00A00E1A" w:rsidP="00A00E1A">
      <w:pPr>
        <w:numPr>
          <w:ilvl w:val="0"/>
          <w:numId w:val="4"/>
        </w:numPr>
        <w:rPr>
          <w:color w:val="000000" w:themeColor="text1"/>
        </w:rPr>
      </w:pPr>
      <w:r w:rsidRPr="00A00E1A">
        <w:rPr>
          <w:color w:val="000000" w:themeColor="text1"/>
        </w:rPr>
        <w:t>The apprenticeship model is being successfully used in many GP surgeries within BNSSG to train unregistered staff to become Nurse Associates and if required, Registered Nurses (this is a further 2-year course to gain a level 6 qualification).  This method of “growing your own” staff ensures that skilled and dedicated staff are valued and retained as part of the workforce, and in return are able to extend their skills to meet the needs of the patient population.   </w:t>
      </w:r>
    </w:p>
    <w:p w14:paraId="45836529" w14:textId="77777777" w:rsidR="00A00E1A" w:rsidRPr="00A00E1A" w:rsidRDefault="00A00E1A" w:rsidP="00A00E1A">
      <w:pPr>
        <w:rPr>
          <w:color w:val="000000" w:themeColor="text1"/>
        </w:rPr>
      </w:pPr>
      <w:r w:rsidRPr="00A00E1A">
        <w:rPr>
          <w:color w:val="000000" w:themeColor="text1"/>
        </w:rPr>
        <w:t>Ref: </w:t>
      </w:r>
      <w:hyperlink r:id="rId8" w:tgtFrame="_blank" w:history="1">
        <w:r w:rsidRPr="00A00E1A">
          <w:rPr>
            <w:rStyle w:val="Hyperlink"/>
            <w:color w:val="000000" w:themeColor="text1"/>
          </w:rPr>
          <w:t>Nursing Associates - Growing Your Own or Developing Existing Staff and Retaining Talent.pdf</w:t>
        </w:r>
      </w:hyperlink>
      <w:r w:rsidRPr="00A00E1A">
        <w:rPr>
          <w:color w:val="000000" w:themeColor="text1"/>
        </w:rPr>
        <w:t> </w:t>
      </w:r>
    </w:p>
    <w:p w14:paraId="5CCCBBDF" w14:textId="77777777" w:rsidR="00A00E1A" w:rsidRPr="00A00E1A" w:rsidRDefault="00A00E1A" w:rsidP="00A00E1A">
      <w:pPr>
        <w:numPr>
          <w:ilvl w:val="0"/>
          <w:numId w:val="5"/>
        </w:numPr>
        <w:rPr>
          <w:color w:val="000000" w:themeColor="text1"/>
        </w:rPr>
      </w:pPr>
      <w:r w:rsidRPr="00A00E1A">
        <w:rPr>
          <w:color w:val="000000" w:themeColor="text1"/>
        </w:rPr>
        <w:t>[Insert name of staff] has been at [Insert practice] for [insert number of years] years as a Health Care Assistant and has become an invaluable member of the surgery team.  She/he has developed a number of skills including undertaking venepuncture, ECGs, chronic disease preliminary reviews (in preparation for their annual reviews), smoking cessation, simple and complex wound care, doppler and compression, administering injectable medication</w:t>
      </w:r>
      <w:r w:rsidRPr="00A00E1A">
        <w:rPr>
          <w:i/>
          <w:iCs/>
          <w:color w:val="000000" w:themeColor="text1"/>
        </w:rPr>
        <w:t>. (Change or add as required)</w:t>
      </w:r>
      <w:r w:rsidRPr="00A00E1A">
        <w:rPr>
          <w:color w:val="000000" w:themeColor="text1"/>
        </w:rPr>
        <w:t>.  </w:t>
      </w:r>
    </w:p>
    <w:p w14:paraId="35503C05" w14:textId="77777777" w:rsidR="00A00E1A" w:rsidRDefault="00A00E1A" w:rsidP="00A00E1A">
      <w:pPr>
        <w:rPr>
          <w:color w:val="000000" w:themeColor="text1"/>
        </w:rPr>
      </w:pPr>
      <w:r w:rsidRPr="00A00E1A">
        <w:rPr>
          <w:color w:val="000000" w:themeColor="text1"/>
        </w:rPr>
        <w:t> </w:t>
      </w:r>
    </w:p>
    <w:p w14:paraId="339CD660" w14:textId="77777777" w:rsidR="002C7B5E" w:rsidRDefault="002C7B5E" w:rsidP="00A00E1A">
      <w:pPr>
        <w:rPr>
          <w:color w:val="000000" w:themeColor="text1"/>
        </w:rPr>
      </w:pPr>
    </w:p>
    <w:p w14:paraId="766DCECD" w14:textId="77777777" w:rsidR="002C7B5E" w:rsidRPr="00A00E1A" w:rsidRDefault="002C7B5E" w:rsidP="00A00E1A">
      <w:pPr>
        <w:rPr>
          <w:color w:val="000000" w:themeColor="text1"/>
        </w:rPr>
      </w:pPr>
    </w:p>
    <w:p w14:paraId="621B55C5" w14:textId="77777777" w:rsidR="00A00E1A" w:rsidRPr="00A00E1A" w:rsidRDefault="00A00E1A" w:rsidP="00A00E1A">
      <w:pPr>
        <w:rPr>
          <w:color w:val="000000" w:themeColor="text1"/>
        </w:rPr>
      </w:pPr>
      <w:r w:rsidRPr="00A00E1A">
        <w:rPr>
          <w:color w:val="000000" w:themeColor="text1"/>
        </w:rPr>
        <w:lastRenderedPageBreak/>
        <w:t>3. Objectives: </w:t>
      </w:r>
    </w:p>
    <w:p w14:paraId="4DB64B1F" w14:textId="77777777" w:rsidR="00A00E1A" w:rsidRPr="00A00E1A" w:rsidRDefault="00A00E1A" w:rsidP="00A00E1A">
      <w:pPr>
        <w:numPr>
          <w:ilvl w:val="0"/>
          <w:numId w:val="6"/>
        </w:numPr>
        <w:rPr>
          <w:color w:val="000000" w:themeColor="text1"/>
        </w:rPr>
      </w:pPr>
      <w:r w:rsidRPr="00A00E1A">
        <w:rPr>
          <w:color w:val="000000" w:themeColor="text1"/>
        </w:rPr>
        <w:t>Enhance clinical competence and capacity, allowing Registered Nurses to focus on providing complex care. </w:t>
      </w:r>
    </w:p>
    <w:p w14:paraId="656CB4F5" w14:textId="77777777" w:rsidR="00A00E1A" w:rsidRPr="00A00E1A" w:rsidRDefault="00A00E1A" w:rsidP="00A00E1A">
      <w:pPr>
        <w:numPr>
          <w:ilvl w:val="0"/>
          <w:numId w:val="7"/>
        </w:numPr>
        <w:rPr>
          <w:color w:val="000000" w:themeColor="text1"/>
        </w:rPr>
      </w:pPr>
      <w:r w:rsidRPr="00A00E1A">
        <w:rPr>
          <w:color w:val="000000" w:themeColor="text1"/>
        </w:rPr>
        <w:t>Improve continuity and quality of patient care. </w:t>
      </w:r>
    </w:p>
    <w:p w14:paraId="16670CE6" w14:textId="77777777" w:rsidR="00A00E1A" w:rsidRPr="00A00E1A" w:rsidRDefault="00A00E1A" w:rsidP="00A00E1A">
      <w:pPr>
        <w:numPr>
          <w:ilvl w:val="0"/>
          <w:numId w:val="8"/>
        </w:numPr>
        <w:rPr>
          <w:color w:val="000000" w:themeColor="text1"/>
        </w:rPr>
      </w:pPr>
      <w:r w:rsidRPr="00A00E1A">
        <w:rPr>
          <w:color w:val="000000" w:themeColor="text1"/>
        </w:rPr>
        <w:t>Enhance flexibility and resilience of the nursing team </w:t>
      </w:r>
    </w:p>
    <w:p w14:paraId="0A668AA1" w14:textId="77777777" w:rsidR="00A00E1A" w:rsidRPr="00A00E1A" w:rsidRDefault="00A00E1A" w:rsidP="00A00E1A">
      <w:pPr>
        <w:numPr>
          <w:ilvl w:val="0"/>
          <w:numId w:val="9"/>
        </w:numPr>
        <w:rPr>
          <w:color w:val="000000" w:themeColor="text1"/>
        </w:rPr>
      </w:pPr>
      <w:r w:rsidRPr="00A00E1A">
        <w:rPr>
          <w:color w:val="000000" w:themeColor="text1"/>
        </w:rPr>
        <w:t>Support workforce development and retention. </w:t>
      </w:r>
    </w:p>
    <w:p w14:paraId="1AE1095F" w14:textId="77777777" w:rsidR="00A00E1A" w:rsidRPr="00A00E1A" w:rsidRDefault="00A00E1A" w:rsidP="00A00E1A">
      <w:pPr>
        <w:numPr>
          <w:ilvl w:val="0"/>
          <w:numId w:val="10"/>
        </w:numPr>
        <w:rPr>
          <w:color w:val="000000" w:themeColor="text1"/>
        </w:rPr>
      </w:pPr>
      <w:r w:rsidRPr="00A00E1A">
        <w:rPr>
          <w:color w:val="000000" w:themeColor="text1"/>
        </w:rPr>
        <w:t>Demonstrate a clear career pathway for existing HCAs. </w:t>
      </w:r>
    </w:p>
    <w:p w14:paraId="463154E8" w14:textId="77777777" w:rsidR="00A00E1A" w:rsidRPr="00A00E1A" w:rsidRDefault="00A00E1A" w:rsidP="00A00E1A">
      <w:pPr>
        <w:rPr>
          <w:color w:val="000000" w:themeColor="text1"/>
        </w:rPr>
      </w:pPr>
      <w:r w:rsidRPr="00A00E1A">
        <w:rPr>
          <w:color w:val="000000" w:themeColor="text1"/>
        </w:rPr>
        <w:t> </w:t>
      </w:r>
    </w:p>
    <w:p w14:paraId="6D93287D" w14:textId="77777777" w:rsidR="00A00E1A" w:rsidRPr="00A00E1A" w:rsidRDefault="00A00E1A" w:rsidP="00A00E1A">
      <w:pPr>
        <w:rPr>
          <w:color w:val="000000" w:themeColor="text1"/>
        </w:rPr>
      </w:pPr>
      <w:r w:rsidRPr="00A00E1A">
        <w:rPr>
          <w:color w:val="000000" w:themeColor="text1"/>
        </w:rPr>
        <w:t>4. Benefits: </w:t>
      </w:r>
    </w:p>
    <w:p w14:paraId="418525F1" w14:textId="77777777" w:rsidR="00A00E1A" w:rsidRPr="00A00E1A" w:rsidRDefault="00A00E1A" w:rsidP="00A00E1A">
      <w:pPr>
        <w:numPr>
          <w:ilvl w:val="0"/>
          <w:numId w:val="11"/>
        </w:numPr>
        <w:rPr>
          <w:color w:val="000000" w:themeColor="text1"/>
        </w:rPr>
      </w:pPr>
      <w:r w:rsidRPr="00A00E1A">
        <w:rPr>
          <w:color w:val="000000" w:themeColor="text1"/>
        </w:rPr>
        <w:t>Clinical Excellence:</w:t>
      </w:r>
      <w:r w:rsidRPr="00A00E1A">
        <w:rPr>
          <w:rFonts w:ascii="Arial" w:hAnsi="Arial" w:cs="Arial"/>
          <w:color w:val="000000" w:themeColor="text1"/>
        </w:rPr>
        <w:t> </w:t>
      </w:r>
      <w:r w:rsidRPr="00A00E1A">
        <w:rPr>
          <w:color w:val="000000" w:themeColor="text1"/>
        </w:rPr>
        <w:t>A Nurse</w:t>
      </w:r>
      <w:r w:rsidRPr="00A00E1A">
        <w:rPr>
          <w:rFonts w:ascii="Aptos" w:hAnsi="Aptos" w:cs="Aptos"/>
          <w:color w:val="000000" w:themeColor="text1"/>
        </w:rPr>
        <w:t> </w:t>
      </w:r>
      <w:r w:rsidRPr="00A00E1A">
        <w:rPr>
          <w:color w:val="000000" w:themeColor="text1"/>
        </w:rPr>
        <w:t>Associate</w:t>
      </w:r>
      <w:r w:rsidRPr="00A00E1A">
        <w:rPr>
          <w:rFonts w:ascii="Aptos" w:hAnsi="Aptos" w:cs="Aptos"/>
          <w:color w:val="000000" w:themeColor="text1"/>
        </w:rPr>
        <w:t> </w:t>
      </w:r>
      <w:r w:rsidRPr="00A00E1A">
        <w:rPr>
          <w:color w:val="000000" w:themeColor="text1"/>
        </w:rPr>
        <w:t>can take on</w:t>
      </w:r>
      <w:r w:rsidRPr="00A00E1A">
        <w:rPr>
          <w:rFonts w:ascii="Aptos" w:hAnsi="Aptos" w:cs="Aptos"/>
          <w:color w:val="000000" w:themeColor="text1"/>
        </w:rPr>
        <w:t> </w:t>
      </w:r>
      <w:r w:rsidRPr="00A00E1A">
        <w:rPr>
          <w:color w:val="000000" w:themeColor="text1"/>
        </w:rPr>
        <w:t>skills such as giving injectable medication</w:t>
      </w:r>
      <w:r w:rsidRPr="00A00E1A">
        <w:rPr>
          <w:rFonts w:ascii="Aptos" w:hAnsi="Aptos" w:cs="Aptos"/>
          <w:color w:val="000000" w:themeColor="text1"/>
        </w:rPr>
        <w:t> </w:t>
      </w:r>
      <w:r w:rsidRPr="00A00E1A">
        <w:rPr>
          <w:color w:val="000000" w:themeColor="text1"/>
        </w:rPr>
        <w:t>under PSD</w:t>
      </w:r>
      <w:r w:rsidRPr="00A00E1A">
        <w:rPr>
          <w:rFonts w:ascii="Aptos" w:hAnsi="Aptos" w:cs="Aptos"/>
          <w:color w:val="000000" w:themeColor="text1"/>
        </w:rPr>
        <w:t> </w:t>
      </w:r>
      <w:r w:rsidRPr="00A00E1A">
        <w:rPr>
          <w:color w:val="000000" w:themeColor="text1"/>
        </w:rPr>
        <w:t>(B12, Pneumonia, shingles, RSV, nasal flu, contraceptive injections, gonadotrophin-hormone releasing analogue medication such as</w:t>
      </w:r>
      <w:r w:rsidRPr="00A00E1A">
        <w:rPr>
          <w:rFonts w:ascii="Aptos" w:hAnsi="Aptos" w:cs="Aptos"/>
          <w:color w:val="000000" w:themeColor="text1"/>
        </w:rPr>
        <w:t> </w:t>
      </w:r>
      <w:proofErr w:type="spellStart"/>
      <w:r w:rsidRPr="00A00E1A">
        <w:rPr>
          <w:color w:val="000000" w:themeColor="text1"/>
        </w:rPr>
        <w:t>prostap</w:t>
      </w:r>
      <w:proofErr w:type="spellEnd"/>
      <w:r w:rsidRPr="00A00E1A">
        <w:rPr>
          <w:rFonts w:ascii="Aptos" w:hAnsi="Aptos" w:cs="Aptos"/>
          <w:color w:val="000000" w:themeColor="text1"/>
        </w:rPr>
        <w:t> </w:t>
      </w:r>
      <w:r w:rsidRPr="00A00E1A">
        <w:rPr>
          <w:color w:val="000000" w:themeColor="text1"/>
        </w:rPr>
        <w:t>and</w:t>
      </w:r>
      <w:r w:rsidRPr="00A00E1A">
        <w:rPr>
          <w:rFonts w:ascii="Aptos" w:hAnsi="Aptos" w:cs="Aptos"/>
          <w:color w:val="000000" w:themeColor="text1"/>
        </w:rPr>
        <w:t> </w:t>
      </w:r>
      <w:proofErr w:type="spellStart"/>
      <w:r w:rsidRPr="00A00E1A">
        <w:rPr>
          <w:color w:val="000000" w:themeColor="text1"/>
        </w:rPr>
        <w:t>zolidex</w:t>
      </w:r>
      <w:proofErr w:type="spellEnd"/>
      <w:r w:rsidRPr="00A00E1A">
        <w:rPr>
          <w:color w:val="000000" w:themeColor="text1"/>
        </w:rPr>
        <w:t>), child immunisations (under PSD) and cytology sampling.</w:t>
      </w:r>
      <w:r w:rsidRPr="00A00E1A">
        <w:rPr>
          <w:rFonts w:ascii="Aptos" w:hAnsi="Aptos" w:cs="Aptos"/>
          <w:color w:val="000000" w:themeColor="text1"/>
        </w:rPr>
        <w:t> </w:t>
      </w:r>
    </w:p>
    <w:p w14:paraId="2C0D62FF" w14:textId="77777777" w:rsidR="00A00E1A" w:rsidRPr="00A00E1A" w:rsidRDefault="00A00E1A" w:rsidP="00A00E1A">
      <w:pPr>
        <w:numPr>
          <w:ilvl w:val="0"/>
          <w:numId w:val="12"/>
        </w:numPr>
        <w:rPr>
          <w:color w:val="000000" w:themeColor="text1"/>
        </w:rPr>
      </w:pPr>
      <w:r w:rsidRPr="00A00E1A">
        <w:rPr>
          <w:color w:val="000000" w:themeColor="text1"/>
        </w:rPr>
        <w:t>Workforce Stability:</w:t>
      </w:r>
      <w:r w:rsidRPr="00A00E1A">
        <w:rPr>
          <w:rFonts w:ascii="Arial" w:hAnsi="Arial" w:cs="Arial"/>
          <w:color w:val="000000" w:themeColor="text1"/>
        </w:rPr>
        <w:t> </w:t>
      </w:r>
      <w:r w:rsidRPr="00A00E1A">
        <w:rPr>
          <w:color w:val="000000" w:themeColor="text1"/>
        </w:rPr>
        <w:t>Investing in staff development can increase job satisfaction and reduce turnover</w:t>
      </w:r>
      <w:r w:rsidRPr="00A00E1A">
        <w:rPr>
          <w:rFonts w:ascii="Aptos" w:hAnsi="Aptos" w:cs="Aptos"/>
          <w:color w:val="000000" w:themeColor="text1"/>
        </w:rPr>
        <w:t> </w:t>
      </w:r>
      <w:r w:rsidRPr="00A00E1A">
        <w:rPr>
          <w:color w:val="000000" w:themeColor="text1"/>
        </w:rPr>
        <w:t>of staff.</w:t>
      </w:r>
      <w:r w:rsidRPr="00A00E1A">
        <w:rPr>
          <w:rFonts w:ascii="Aptos" w:hAnsi="Aptos" w:cs="Aptos"/>
          <w:color w:val="000000" w:themeColor="text1"/>
        </w:rPr>
        <w:t> </w:t>
      </w:r>
    </w:p>
    <w:p w14:paraId="189B9F50" w14:textId="77777777" w:rsidR="00A00E1A" w:rsidRPr="00A00E1A" w:rsidRDefault="00A00E1A" w:rsidP="00A00E1A">
      <w:pPr>
        <w:numPr>
          <w:ilvl w:val="0"/>
          <w:numId w:val="13"/>
        </w:numPr>
        <w:rPr>
          <w:color w:val="000000" w:themeColor="text1"/>
        </w:rPr>
      </w:pPr>
      <w:r w:rsidRPr="00A00E1A">
        <w:rPr>
          <w:color w:val="000000" w:themeColor="text1"/>
        </w:rPr>
        <w:t>Cost Efficiency:</w:t>
      </w:r>
      <w:r w:rsidRPr="00A00E1A">
        <w:rPr>
          <w:rFonts w:ascii="Arial" w:hAnsi="Arial" w:cs="Arial"/>
          <w:color w:val="000000" w:themeColor="text1"/>
        </w:rPr>
        <w:t> </w:t>
      </w:r>
      <w:r w:rsidRPr="00A00E1A">
        <w:rPr>
          <w:color w:val="000000" w:themeColor="text1"/>
        </w:rPr>
        <w:t>While</w:t>
      </w:r>
      <w:r w:rsidRPr="00A00E1A">
        <w:rPr>
          <w:rFonts w:ascii="Aptos" w:hAnsi="Aptos" w:cs="Aptos"/>
          <w:color w:val="000000" w:themeColor="text1"/>
        </w:rPr>
        <w:t> </w:t>
      </w:r>
      <w:r w:rsidRPr="00A00E1A">
        <w:rPr>
          <w:color w:val="000000" w:themeColor="text1"/>
        </w:rPr>
        <w:t>there will be some cost implications associated with supporting Elaine during the SNA apprenticeship,</w:t>
      </w:r>
      <w:r w:rsidRPr="00A00E1A">
        <w:rPr>
          <w:rFonts w:ascii="Aptos" w:hAnsi="Aptos" w:cs="Aptos"/>
          <w:color w:val="000000" w:themeColor="text1"/>
        </w:rPr>
        <w:t> </w:t>
      </w:r>
      <w:r w:rsidRPr="00A00E1A">
        <w:rPr>
          <w:color w:val="000000" w:themeColor="text1"/>
        </w:rPr>
        <w:t>this will be offset when she qualifies.</w:t>
      </w:r>
      <w:r w:rsidRPr="00A00E1A">
        <w:rPr>
          <w:rFonts w:ascii="Aptos" w:hAnsi="Aptos" w:cs="Aptos"/>
          <w:color w:val="000000" w:themeColor="text1"/>
        </w:rPr>
        <w:t>  </w:t>
      </w:r>
      <w:r w:rsidRPr="00A00E1A">
        <w:rPr>
          <w:color w:val="000000" w:themeColor="text1"/>
        </w:rPr>
        <w:t>The cost of paying a Nurse Associate to undertake the skills listed above is less than paying a Registered</w:t>
      </w:r>
      <w:r w:rsidRPr="00A00E1A">
        <w:rPr>
          <w:rFonts w:ascii="Aptos" w:hAnsi="Aptos" w:cs="Aptos"/>
          <w:color w:val="000000" w:themeColor="text1"/>
        </w:rPr>
        <w:t> </w:t>
      </w:r>
      <w:r w:rsidRPr="00A00E1A">
        <w:rPr>
          <w:color w:val="000000" w:themeColor="text1"/>
        </w:rPr>
        <w:t>Nurse and</w:t>
      </w:r>
      <w:r w:rsidRPr="00A00E1A">
        <w:rPr>
          <w:rFonts w:ascii="Aptos" w:hAnsi="Aptos" w:cs="Aptos"/>
          <w:color w:val="000000" w:themeColor="text1"/>
        </w:rPr>
        <w:t> </w:t>
      </w:r>
      <w:r w:rsidRPr="00A00E1A">
        <w:rPr>
          <w:color w:val="000000" w:themeColor="text1"/>
        </w:rPr>
        <w:t>therefore allows RNs to undertake complex patient care.</w:t>
      </w:r>
      <w:r w:rsidRPr="00A00E1A">
        <w:rPr>
          <w:rFonts w:ascii="Aptos" w:hAnsi="Aptos" w:cs="Aptos"/>
          <w:color w:val="000000" w:themeColor="text1"/>
        </w:rPr>
        <w:t> </w:t>
      </w:r>
    </w:p>
    <w:p w14:paraId="253B8F43" w14:textId="77777777" w:rsidR="00A00E1A" w:rsidRPr="00A00E1A" w:rsidRDefault="00A00E1A" w:rsidP="00A00E1A">
      <w:pPr>
        <w:rPr>
          <w:color w:val="000000" w:themeColor="text1"/>
        </w:rPr>
      </w:pPr>
      <w:r w:rsidRPr="00A00E1A">
        <w:rPr>
          <w:color w:val="000000" w:themeColor="text1"/>
        </w:rPr>
        <w:t> </w:t>
      </w:r>
    </w:p>
    <w:p w14:paraId="78F3D6F3" w14:textId="77777777" w:rsidR="00A00E1A" w:rsidRPr="00A00E1A" w:rsidRDefault="00A00E1A" w:rsidP="00A00E1A">
      <w:pPr>
        <w:rPr>
          <w:color w:val="000000" w:themeColor="text1"/>
        </w:rPr>
      </w:pPr>
      <w:r w:rsidRPr="00A00E1A">
        <w:rPr>
          <w:color w:val="000000" w:themeColor="text1"/>
        </w:rPr>
        <w:t>5. Costs: </w:t>
      </w:r>
    </w:p>
    <w:p w14:paraId="3D8A31C5" w14:textId="77777777" w:rsidR="00A00E1A" w:rsidRPr="00A00E1A" w:rsidRDefault="00A00E1A" w:rsidP="00A00E1A">
      <w:pPr>
        <w:numPr>
          <w:ilvl w:val="0"/>
          <w:numId w:val="14"/>
        </w:numPr>
        <w:rPr>
          <w:color w:val="000000" w:themeColor="text1"/>
        </w:rPr>
      </w:pPr>
      <w:r w:rsidRPr="00A00E1A">
        <w:rPr>
          <w:color w:val="000000" w:themeColor="text1"/>
        </w:rPr>
        <w:t>Training Costs:</w:t>
      </w:r>
      <w:r w:rsidRPr="00A00E1A">
        <w:rPr>
          <w:rFonts w:ascii="Arial" w:hAnsi="Arial" w:cs="Arial"/>
          <w:color w:val="000000" w:themeColor="text1"/>
        </w:rPr>
        <w:t> </w:t>
      </w:r>
      <w:r w:rsidRPr="00A00E1A">
        <w:rPr>
          <w:color w:val="000000" w:themeColor="text1"/>
        </w:rPr>
        <w:t xml:space="preserve">Approximately </w:t>
      </w:r>
      <w:r w:rsidRPr="00A00E1A">
        <w:rPr>
          <w:rFonts w:ascii="Aptos" w:hAnsi="Aptos" w:cs="Aptos"/>
          <w:color w:val="000000" w:themeColor="text1"/>
        </w:rPr>
        <w:t>£</w:t>
      </w:r>
      <w:r w:rsidRPr="00A00E1A">
        <w:rPr>
          <w:color w:val="000000" w:themeColor="text1"/>
        </w:rPr>
        <w:t>9k per year, this is covered by the apprenticeship levy which is transferred from one of the larger organisations within BNSSG ICS.  </w:t>
      </w:r>
      <w:hyperlink r:id="rId9" w:tgtFrame="_blank" w:history="1">
        <w:r w:rsidRPr="00A00E1A">
          <w:rPr>
            <w:rStyle w:val="Hyperlink"/>
            <w:color w:val="000000" w:themeColor="text1"/>
          </w:rPr>
          <w:t>Apprenticeship funding rules and assessment plan guidance, 2025 to 2026 - GOV.UK</w:t>
        </w:r>
      </w:hyperlink>
      <w:r w:rsidRPr="00A00E1A">
        <w:rPr>
          <w:color w:val="000000" w:themeColor="text1"/>
        </w:rPr>
        <w:t>  </w:t>
      </w:r>
    </w:p>
    <w:p w14:paraId="79A43864" w14:textId="77777777" w:rsidR="00A00E1A" w:rsidRPr="00A00E1A" w:rsidRDefault="00A00E1A" w:rsidP="00A00E1A">
      <w:pPr>
        <w:numPr>
          <w:ilvl w:val="0"/>
          <w:numId w:val="15"/>
        </w:numPr>
        <w:rPr>
          <w:color w:val="000000" w:themeColor="text1"/>
        </w:rPr>
      </w:pPr>
      <w:r w:rsidRPr="00A00E1A">
        <w:rPr>
          <w:color w:val="000000" w:themeColor="text1"/>
        </w:rPr>
        <w:t>Backfill Costs:</w:t>
      </w:r>
      <w:r w:rsidRPr="00A00E1A">
        <w:rPr>
          <w:rFonts w:ascii="Arial" w:hAnsi="Arial" w:cs="Arial"/>
          <w:color w:val="000000" w:themeColor="text1"/>
        </w:rPr>
        <w:t> </w:t>
      </w:r>
      <w:r w:rsidRPr="00A00E1A">
        <w:rPr>
          <w:rFonts w:ascii="Aptos" w:hAnsi="Aptos" w:cs="Aptos"/>
          <w:color w:val="000000" w:themeColor="text1"/>
        </w:rPr>
        <w:t> </w:t>
      </w:r>
      <w:r w:rsidRPr="00A00E1A">
        <w:rPr>
          <w:color w:val="000000" w:themeColor="text1"/>
        </w:rPr>
        <w:t xml:space="preserve">Approximately </w:t>
      </w:r>
      <w:r w:rsidRPr="00A00E1A">
        <w:rPr>
          <w:rFonts w:ascii="Aptos" w:hAnsi="Aptos" w:cs="Aptos"/>
          <w:color w:val="000000" w:themeColor="text1"/>
        </w:rPr>
        <w:t>£</w:t>
      </w:r>
      <w:r w:rsidRPr="00A00E1A">
        <w:rPr>
          <w:color w:val="000000" w:themeColor="text1"/>
        </w:rPr>
        <w:t>4k per year is paid to the GP surgery from the Government to</w:t>
      </w:r>
      <w:r w:rsidRPr="00A00E1A">
        <w:rPr>
          <w:rFonts w:ascii="Aptos" w:hAnsi="Aptos" w:cs="Aptos"/>
          <w:color w:val="000000" w:themeColor="text1"/>
        </w:rPr>
        <w:t> </w:t>
      </w:r>
      <w:r w:rsidRPr="00A00E1A">
        <w:rPr>
          <w:color w:val="000000" w:themeColor="text1"/>
        </w:rPr>
        <w:t>assist</w:t>
      </w:r>
      <w:r w:rsidRPr="00A00E1A">
        <w:rPr>
          <w:rFonts w:ascii="Aptos" w:hAnsi="Aptos" w:cs="Aptos"/>
          <w:color w:val="000000" w:themeColor="text1"/>
        </w:rPr>
        <w:t> </w:t>
      </w:r>
      <w:r w:rsidRPr="00A00E1A">
        <w:rPr>
          <w:color w:val="000000" w:themeColor="text1"/>
        </w:rPr>
        <w:t>with associated costs.</w:t>
      </w:r>
      <w:r w:rsidRPr="00A00E1A">
        <w:rPr>
          <w:rFonts w:ascii="Aptos" w:hAnsi="Aptos" w:cs="Aptos"/>
          <w:color w:val="000000" w:themeColor="text1"/>
        </w:rPr>
        <w:t> </w:t>
      </w:r>
    </w:p>
    <w:p w14:paraId="2C144EC3" w14:textId="77777777" w:rsidR="00A00E1A" w:rsidRPr="00A00E1A" w:rsidRDefault="00A00E1A" w:rsidP="00A00E1A">
      <w:pPr>
        <w:numPr>
          <w:ilvl w:val="0"/>
          <w:numId w:val="16"/>
        </w:numPr>
        <w:rPr>
          <w:color w:val="000000" w:themeColor="text1"/>
        </w:rPr>
      </w:pPr>
      <w:r w:rsidRPr="00A00E1A">
        <w:rPr>
          <w:color w:val="000000" w:themeColor="text1"/>
        </w:rPr>
        <w:t>Increase in hours while on apprenticeship: Apprentices are required to work a minimum of 30 hours per week to fulfil the number of hours required to qualify.   </w:t>
      </w:r>
    </w:p>
    <w:p w14:paraId="221E6130" w14:textId="77777777" w:rsidR="00A00E1A" w:rsidRPr="00A00E1A" w:rsidRDefault="00A00E1A" w:rsidP="00A00E1A">
      <w:pPr>
        <w:numPr>
          <w:ilvl w:val="0"/>
          <w:numId w:val="17"/>
        </w:numPr>
        <w:rPr>
          <w:color w:val="000000" w:themeColor="text1"/>
        </w:rPr>
      </w:pPr>
      <w:r w:rsidRPr="00A00E1A">
        <w:rPr>
          <w:color w:val="000000" w:themeColor="text1"/>
        </w:rPr>
        <w:lastRenderedPageBreak/>
        <w:t>Increase in rate of pay on qualification:  It is recommended that Nurse Associates are paid the equivalent of Band 4 (Agenda for Change currently £14.06 - £15.43 per hour).   </w:t>
      </w:r>
    </w:p>
    <w:p w14:paraId="028339D2" w14:textId="77777777" w:rsidR="00A00E1A" w:rsidRPr="00A00E1A" w:rsidRDefault="00A00E1A" w:rsidP="00A00E1A">
      <w:pPr>
        <w:rPr>
          <w:color w:val="000000" w:themeColor="text1"/>
        </w:rPr>
      </w:pPr>
      <w:r w:rsidRPr="00A00E1A">
        <w:rPr>
          <w:color w:val="000000" w:themeColor="text1"/>
        </w:rPr>
        <w:t>Ref: </w:t>
      </w:r>
      <w:hyperlink r:id="rId10" w:tgtFrame="_blank" w:history="1">
        <w:r w:rsidRPr="00A00E1A">
          <w:rPr>
            <w:rStyle w:val="Hyperlink"/>
            <w:color w:val="000000" w:themeColor="text1"/>
          </w:rPr>
          <w:t>Apprenticeship funding rules, 2025 to 2026 - GOV.UK</w:t>
        </w:r>
      </w:hyperlink>
      <w:r w:rsidRPr="00A00E1A">
        <w:rPr>
          <w:rFonts w:ascii="Arial" w:hAnsi="Arial" w:cs="Arial"/>
          <w:color w:val="000000" w:themeColor="text1"/>
        </w:rPr>
        <w:t> </w:t>
      </w:r>
      <w:r w:rsidRPr="00A00E1A">
        <w:rPr>
          <w:color w:val="000000" w:themeColor="text1"/>
        </w:rPr>
        <w:t> </w:t>
      </w:r>
    </w:p>
    <w:p w14:paraId="7F4DD66C" w14:textId="77777777" w:rsidR="00A00E1A" w:rsidRPr="00A00E1A" w:rsidRDefault="00A00E1A" w:rsidP="00A00E1A">
      <w:pPr>
        <w:rPr>
          <w:color w:val="000000" w:themeColor="text1"/>
        </w:rPr>
      </w:pPr>
      <w:r w:rsidRPr="00A00E1A">
        <w:rPr>
          <w:color w:val="000000" w:themeColor="text1"/>
        </w:rPr>
        <w:t> </w:t>
      </w:r>
    </w:p>
    <w:p w14:paraId="6827E2B9" w14:textId="77777777" w:rsidR="00A00E1A" w:rsidRPr="00A00E1A" w:rsidRDefault="00A00E1A" w:rsidP="00A00E1A">
      <w:pPr>
        <w:rPr>
          <w:color w:val="000000" w:themeColor="text1"/>
        </w:rPr>
      </w:pPr>
      <w:r w:rsidRPr="00A00E1A">
        <w:rPr>
          <w:color w:val="000000" w:themeColor="text1"/>
        </w:rPr>
        <w:t>7. Details of Apprenticeship: </w:t>
      </w:r>
    </w:p>
    <w:p w14:paraId="5D31BCEE" w14:textId="77777777" w:rsidR="00A00E1A" w:rsidRPr="00A00E1A" w:rsidRDefault="00A00E1A" w:rsidP="00A00E1A">
      <w:pPr>
        <w:numPr>
          <w:ilvl w:val="0"/>
          <w:numId w:val="18"/>
        </w:numPr>
        <w:rPr>
          <w:color w:val="000000" w:themeColor="text1"/>
        </w:rPr>
      </w:pPr>
      <w:r w:rsidRPr="00A00E1A">
        <w:rPr>
          <w:color w:val="000000" w:themeColor="text1"/>
        </w:rPr>
        <w:t>The Student Nurse Associate Apprenticeship lasts for 2 years, this consists of: 2300 Hours over 2 years; 1150 theory and 1150 practice.</w:t>
      </w:r>
      <w:r w:rsidRPr="00A00E1A">
        <w:rPr>
          <w:rFonts w:ascii="Arial" w:hAnsi="Arial" w:cs="Arial"/>
          <w:color w:val="000000" w:themeColor="text1"/>
        </w:rPr>
        <w:t> </w:t>
      </w:r>
      <w:r w:rsidRPr="00A00E1A">
        <w:rPr>
          <w:rFonts w:ascii="Aptos" w:hAnsi="Aptos" w:cs="Aptos"/>
          <w:color w:val="000000" w:themeColor="text1"/>
        </w:rPr>
        <w:t> </w:t>
      </w:r>
    </w:p>
    <w:p w14:paraId="5829DB9D" w14:textId="77777777" w:rsidR="00A00E1A" w:rsidRPr="00A00E1A" w:rsidRDefault="00A00E1A" w:rsidP="00A00E1A">
      <w:pPr>
        <w:rPr>
          <w:color w:val="000000" w:themeColor="text1"/>
        </w:rPr>
      </w:pPr>
      <w:r w:rsidRPr="00A00E1A">
        <w:rPr>
          <w:color w:val="000000" w:themeColor="text1"/>
        </w:rPr>
        <w:t xml:space="preserve">Of the 1150 practice hours - 450 hours must be external (to satisfy NMC requirements) – placements in different clinical settings (differs between </w:t>
      </w:r>
      <w:proofErr w:type="gramStart"/>
      <w:r w:rsidRPr="00A00E1A">
        <w:rPr>
          <w:color w:val="000000" w:themeColor="text1"/>
        </w:rPr>
        <w:t>Universities</w:t>
      </w:r>
      <w:proofErr w:type="gramEnd"/>
      <w:r w:rsidRPr="00A00E1A">
        <w:rPr>
          <w:color w:val="000000" w:themeColor="text1"/>
        </w:rPr>
        <w:t>)</w:t>
      </w:r>
    </w:p>
    <w:p w14:paraId="58DAF81D" w14:textId="77777777" w:rsidR="00A00E1A" w:rsidRPr="00A00E1A" w:rsidRDefault="00A00E1A" w:rsidP="00A00E1A">
      <w:pPr>
        <w:rPr>
          <w:color w:val="000000" w:themeColor="text1"/>
        </w:rPr>
      </w:pPr>
      <w:r w:rsidRPr="00A00E1A">
        <w:rPr>
          <w:color w:val="000000" w:themeColor="text1"/>
        </w:rPr>
        <w:t>700 hours - Protected learning hours (Some practices give SNA non-college days for this – TNAs are in college once a week apart from main holidays – Christmas, Easter, Summer).</w:t>
      </w:r>
      <w:r w:rsidRPr="00A00E1A">
        <w:rPr>
          <w:rFonts w:ascii="Arial" w:hAnsi="Arial" w:cs="Arial"/>
          <w:color w:val="000000" w:themeColor="text1"/>
        </w:rPr>
        <w:t> </w:t>
      </w:r>
      <w:r w:rsidRPr="00A00E1A">
        <w:rPr>
          <w:rFonts w:ascii="Aptos" w:hAnsi="Aptos" w:cs="Aptos"/>
          <w:color w:val="000000" w:themeColor="text1"/>
        </w:rPr>
        <w:t> </w:t>
      </w:r>
    </w:p>
    <w:p w14:paraId="636D67D2" w14:textId="77777777" w:rsidR="00A00E1A" w:rsidRPr="00A00E1A" w:rsidRDefault="00A00E1A" w:rsidP="00A00E1A">
      <w:pPr>
        <w:rPr>
          <w:color w:val="000000" w:themeColor="text1"/>
        </w:rPr>
      </w:pPr>
      <w:r w:rsidRPr="00A00E1A">
        <w:rPr>
          <w:color w:val="000000" w:themeColor="text1"/>
        </w:rPr>
        <w:t>Protected Learning hours can include any learning that is over and above their normal role – training days, supervision, working with other team members (Pharmacists, Pharmacy Technicians, GPs, ANPs, etc), visits to other clinical areas (e.g. Milestones Trust – if working with LD patients; Unity, Gynae etc)</w:t>
      </w:r>
      <w:r w:rsidRPr="00A00E1A">
        <w:rPr>
          <w:rFonts w:ascii="Arial" w:hAnsi="Arial" w:cs="Arial"/>
          <w:color w:val="000000" w:themeColor="text1"/>
        </w:rPr>
        <w:t> </w:t>
      </w:r>
      <w:r w:rsidRPr="00A00E1A">
        <w:rPr>
          <w:rFonts w:ascii="Aptos" w:hAnsi="Aptos" w:cs="Aptos"/>
          <w:color w:val="000000" w:themeColor="text1"/>
        </w:rPr>
        <w:t> </w:t>
      </w:r>
    </w:p>
    <w:p w14:paraId="7734C3B8" w14:textId="77777777" w:rsidR="00A00E1A" w:rsidRPr="00A00E1A" w:rsidRDefault="00A00E1A" w:rsidP="00A00E1A">
      <w:pPr>
        <w:rPr>
          <w:color w:val="000000" w:themeColor="text1"/>
        </w:rPr>
      </w:pPr>
      <w:r w:rsidRPr="00A00E1A">
        <w:rPr>
          <w:color w:val="000000" w:themeColor="text1"/>
        </w:rPr>
        <w:t> </w:t>
      </w:r>
    </w:p>
    <w:p w14:paraId="3E456148" w14:textId="77777777" w:rsidR="00A00E1A" w:rsidRPr="00A00E1A" w:rsidRDefault="00A00E1A" w:rsidP="00A00E1A">
      <w:pPr>
        <w:rPr>
          <w:color w:val="000000" w:themeColor="text1"/>
        </w:rPr>
      </w:pPr>
      <w:r w:rsidRPr="00A00E1A">
        <w:rPr>
          <w:color w:val="000000" w:themeColor="text1"/>
        </w:rPr>
        <w:t>8. Requirements of practice to support an SNA apprentice:</w:t>
      </w:r>
      <w:r w:rsidRPr="00A00E1A">
        <w:rPr>
          <w:rFonts w:ascii="Arial" w:hAnsi="Arial" w:cs="Arial"/>
          <w:color w:val="000000" w:themeColor="text1"/>
        </w:rPr>
        <w:t> </w:t>
      </w:r>
      <w:r w:rsidRPr="00A00E1A">
        <w:rPr>
          <w:rFonts w:ascii="Aptos" w:hAnsi="Aptos" w:cs="Aptos"/>
          <w:color w:val="000000" w:themeColor="text1"/>
        </w:rPr>
        <w:t> </w:t>
      </w:r>
    </w:p>
    <w:p w14:paraId="06B1CF51" w14:textId="77777777" w:rsidR="00A00E1A" w:rsidRPr="00A00E1A" w:rsidRDefault="00A00E1A" w:rsidP="00A00E1A">
      <w:pPr>
        <w:numPr>
          <w:ilvl w:val="0"/>
          <w:numId w:val="19"/>
        </w:numPr>
        <w:rPr>
          <w:color w:val="000000" w:themeColor="text1"/>
        </w:rPr>
      </w:pPr>
      <w:r w:rsidRPr="00A00E1A">
        <w:rPr>
          <w:color w:val="000000" w:themeColor="text1"/>
        </w:rPr>
        <w:t>The practice must be committed to supporting their applicant throughout their 2 years of study.</w:t>
      </w:r>
      <w:r w:rsidRPr="00A00E1A">
        <w:rPr>
          <w:rFonts w:ascii="Arial" w:hAnsi="Arial" w:cs="Arial"/>
          <w:color w:val="000000" w:themeColor="text1"/>
        </w:rPr>
        <w:t> </w:t>
      </w:r>
      <w:r w:rsidRPr="00A00E1A">
        <w:rPr>
          <w:rFonts w:ascii="Aptos" w:hAnsi="Aptos" w:cs="Aptos"/>
          <w:color w:val="000000" w:themeColor="text1"/>
        </w:rPr>
        <w:t> </w:t>
      </w:r>
    </w:p>
    <w:p w14:paraId="6E6B06D4" w14:textId="77777777" w:rsidR="00A00E1A" w:rsidRPr="00A00E1A" w:rsidRDefault="00A00E1A" w:rsidP="00A00E1A">
      <w:pPr>
        <w:numPr>
          <w:ilvl w:val="0"/>
          <w:numId w:val="20"/>
        </w:numPr>
        <w:rPr>
          <w:color w:val="000000" w:themeColor="text1"/>
        </w:rPr>
      </w:pPr>
      <w:r w:rsidRPr="00A00E1A">
        <w:rPr>
          <w:color w:val="000000" w:themeColor="text1"/>
        </w:rPr>
        <w:t>The employer must agree to supporting protected learning time in practice for the duration of the SNA programme. </w:t>
      </w:r>
    </w:p>
    <w:p w14:paraId="1AF1D9E5" w14:textId="77777777" w:rsidR="00A00E1A" w:rsidRPr="00A00E1A" w:rsidRDefault="00A00E1A" w:rsidP="00A00E1A">
      <w:pPr>
        <w:numPr>
          <w:ilvl w:val="0"/>
          <w:numId w:val="21"/>
        </w:numPr>
        <w:rPr>
          <w:color w:val="000000" w:themeColor="text1"/>
        </w:rPr>
      </w:pPr>
      <w:r w:rsidRPr="00A00E1A">
        <w:rPr>
          <w:color w:val="000000" w:themeColor="text1"/>
        </w:rPr>
        <w:t>It is requested that practices offer reciprocal placements for other SNAs working in other clinical areas to allow them to gain experience of primary care.  Induction to Primary Care Placement booklet for SNAs available on request. </w:t>
      </w:r>
    </w:p>
    <w:p w14:paraId="4B40E8CD" w14:textId="77777777" w:rsidR="00A00E1A" w:rsidRPr="00A00E1A" w:rsidRDefault="00A00E1A" w:rsidP="00A00E1A">
      <w:pPr>
        <w:numPr>
          <w:ilvl w:val="0"/>
          <w:numId w:val="22"/>
        </w:numPr>
        <w:rPr>
          <w:color w:val="000000" w:themeColor="text1"/>
        </w:rPr>
      </w:pPr>
      <w:r w:rsidRPr="00A00E1A">
        <w:rPr>
          <w:color w:val="000000" w:themeColor="text1"/>
        </w:rPr>
        <w:t>The practice must have an educational audit in place and GPN assessor or a GPN willing to be an assessor.  Further information can be found in the links below: </w:t>
      </w:r>
    </w:p>
    <w:p w14:paraId="142FECAC" w14:textId="77777777" w:rsidR="00A00E1A" w:rsidRPr="00A00E1A" w:rsidRDefault="00A00E1A" w:rsidP="00A00E1A">
      <w:pPr>
        <w:rPr>
          <w:color w:val="000000" w:themeColor="text1"/>
        </w:rPr>
      </w:pPr>
      <w:r w:rsidRPr="00A00E1A">
        <w:rPr>
          <w:color w:val="000000" w:themeColor="text1"/>
          <w:u w:val="single"/>
        </w:rPr>
        <w:t>What do practice assessors do? - The Nursing and Midwifery Council</w:t>
      </w:r>
      <w:r w:rsidRPr="00A00E1A">
        <w:rPr>
          <w:color w:val="000000" w:themeColor="text1"/>
        </w:rPr>
        <w:t> </w:t>
      </w:r>
    </w:p>
    <w:p w14:paraId="0D97410E" w14:textId="77777777" w:rsidR="00A00E1A" w:rsidRPr="00A00E1A" w:rsidRDefault="00A00E1A" w:rsidP="00A00E1A">
      <w:pPr>
        <w:rPr>
          <w:color w:val="000000" w:themeColor="text1"/>
        </w:rPr>
      </w:pPr>
      <w:r w:rsidRPr="00A00E1A">
        <w:rPr>
          <w:color w:val="000000" w:themeColor="text1"/>
          <w:u w:val="single"/>
        </w:rPr>
        <w:t>Supporting, supervising and assessing students in practice</w:t>
      </w:r>
      <w:r w:rsidRPr="00A00E1A">
        <w:rPr>
          <w:rFonts w:ascii="Arial" w:hAnsi="Arial" w:cs="Arial"/>
          <w:color w:val="000000" w:themeColor="text1"/>
          <w:u w:val="single"/>
        </w:rPr>
        <w:t> </w:t>
      </w:r>
      <w:r w:rsidRPr="00A00E1A">
        <w:rPr>
          <w:color w:val="000000" w:themeColor="text1"/>
          <w:u w:val="single"/>
        </w:rPr>
        <w:t>- Programme guidance | UWE Bristol</w:t>
      </w:r>
      <w:r w:rsidRPr="00A00E1A">
        <w:rPr>
          <w:color w:val="000000" w:themeColor="text1"/>
        </w:rPr>
        <w:t> </w:t>
      </w:r>
    </w:p>
    <w:p w14:paraId="7EA75CE5" w14:textId="77777777" w:rsidR="00A00E1A" w:rsidRPr="00A00E1A" w:rsidRDefault="00A00E1A" w:rsidP="00A00E1A">
      <w:pPr>
        <w:numPr>
          <w:ilvl w:val="0"/>
          <w:numId w:val="23"/>
        </w:numPr>
        <w:rPr>
          <w:color w:val="000000" w:themeColor="text1"/>
        </w:rPr>
      </w:pPr>
      <w:r w:rsidRPr="00A00E1A">
        <w:rPr>
          <w:color w:val="000000" w:themeColor="text1"/>
        </w:rPr>
        <w:lastRenderedPageBreak/>
        <w:t>The employer should confirm that the candidate is up to date with all routine vaccinations required for working in health and social care settings. The employer must also confirm a candidate has had Occupational Health clearance within a year of starting the programme and is fit to undertake the programme. </w:t>
      </w:r>
    </w:p>
    <w:p w14:paraId="75A3C0D6" w14:textId="77777777" w:rsidR="00A00E1A" w:rsidRPr="00A00E1A" w:rsidRDefault="00A00E1A" w:rsidP="00A00E1A">
      <w:pPr>
        <w:numPr>
          <w:ilvl w:val="0"/>
          <w:numId w:val="24"/>
        </w:numPr>
        <w:rPr>
          <w:color w:val="000000" w:themeColor="text1"/>
        </w:rPr>
      </w:pPr>
      <w:r w:rsidRPr="00A00E1A">
        <w:rPr>
          <w:color w:val="000000" w:themeColor="text1"/>
        </w:rPr>
        <w:t>UWE/ Weston College will undertake the Enhanced Child and Adult DBS process for all successful candidates. The employer should inform the university if they have any DBS concerns or know of any convictions that the candidate has. </w:t>
      </w:r>
    </w:p>
    <w:p w14:paraId="2629D77E" w14:textId="77777777" w:rsidR="00A00E1A" w:rsidRPr="00A00E1A" w:rsidRDefault="00A00E1A" w:rsidP="00A00E1A">
      <w:pPr>
        <w:numPr>
          <w:ilvl w:val="0"/>
          <w:numId w:val="25"/>
        </w:numPr>
        <w:rPr>
          <w:color w:val="000000" w:themeColor="text1"/>
        </w:rPr>
      </w:pPr>
      <w:r w:rsidRPr="00A00E1A">
        <w:rPr>
          <w:color w:val="000000" w:themeColor="text1"/>
        </w:rPr>
        <w:t xml:space="preserve">The practice/PCN should ensure that there is an NMC audit in place.  Support will be provided from the university to achieve this, if it is not in place. </w:t>
      </w:r>
    </w:p>
    <w:p w14:paraId="2E3CB918" w14:textId="77777777" w:rsidR="00A00E1A" w:rsidRPr="00A00E1A" w:rsidRDefault="00A00E1A" w:rsidP="00A00E1A">
      <w:pPr>
        <w:rPr>
          <w:color w:val="000000" w:themeColor="text1"/>
        </w:rPr>
      </w:pPr>
      <w:r w:rsidRPr="00A00E1A">
        <w:rPr>
          <w:color w:val="000000" w:themeColor="text1"/>
        </w:rPr>
        <w:t> </w:t>
      </w:r>
    </w:p>
    <w:p w14:paraId="6A9589A9" w14:textId="77777777" w:rsidR="00A00E1A" w:rsidRPr="00A00E1A" w:rsidRDefault="00A00E1A" w:rsidP="00A00E1A">
      <w:pPr>
        <w:rPr>
          <w:color w:val="000000" w:themeColor="text1"/>
        </w:rPr>
      </w:pPr>
      <w:r w:rsidRPr="00A00E1A">
        <w:rPr>
          <w:color w:val="000000" w:themeColor="text1"/>
        </w:rPr>
        <w:t>9. Risks and Mitigations: </w:t>
      </w:r>
    </w:p>
    <w:p w14:paraId="05CEFE3A" w14:textId="77777777" w:rsidR="00A00E1A" w:rsidRPr="00A00E1A" w:rsidRDefault="00A00E1A" w:rsidP="00A00E1A">
      <w:pPr>
        <w:numPr>
          <w:ilvl w:val="0"/>
          <w:numId w:val="26"/>
        </w:numPr>
        <w:rPr>
          <w:color w:val="000000" w:themeColor="text1"/>
        </w:rPr>
      </w:pPr>
      <w:r w:rsidRPr="00A00E1A">
        <w:rPr>
          <w:color w:val="000000" w:themeColor="text1"/>
        </w:rPr>
        <w:t>Risk:</w:t>
      </w:r>
      <w:r w:rsidRPr="00A00E1A">
        <w:rPr>
          <w:rFonts w:ascii="Arial" w:hAnsi="Arial" w:cs="Arial"/>
          <w:color w:val="000000" w:themeColor="text1"/>
        </w:rPr>
        <w:t> </w:t>
      </w:r>
      <w:r w:rsidRPr="00A00E1A">
        <w:rPr>
          <w:color w:val="000000" w:themeColor="text1"/>
        </w:rPr>
        <w:t>Potential disruption to service delivery during training.</w:t>
      </w:r>
      <w:r w:rsidRPr="00A00E1A">
        <w:rPr>
          <w:rFonts w:ascii="Aptos" w:hAnsi="Aptos" w:cs="Aptos"/>
          <w:color w:val="000000" w:themeColor="text1"/>
        </w:rPr>
        <w:t> </w:t>
      </w:r>
    </w:p>
    <w:p w14:paraId="70FBA4C6" w14:textId="77777777" w:rsidR="00A00E1A" w:rsidRPr="00A00E1A" w:rsidRDefault="00A00E1A" w:rsidP="00A00E1A">
      <w:pPr>
        <w:numPr>
          <w:ilvl w:val="0"/>
          <w:numId w:val="27"/>
        </w:numPr>
        <w:rPr>
          <w:color w:val="000000" w:themeColor="text1"/>
        </w:rPr>
      </w:pPr>
      <w:r w:rsidRPr="00A00E1A">
        <w:rPr>
          <w:color w:val="000000" w:themeColor="text1"/>
        </w:rPr>
        <w:t>Mitigation:</w:t>
      </w:r>
      <w:r w:rsidRPr="00A00E1A">
        <w:rPr>
          <w:rFonts w:ascii="Arial" w:hAnsi="Arial" w:cs="Arial"/>
          <w:color w:val="000000" w:themeColor="text1"/>
        </w:rPr>
        <w:t> </w:t>
      </w:r>
      <w:r w:rsidRPr="00A00E1A">
        <w:rPr>
          <w:color w:val="000000" w:themeColor="text1"/>
        </w:rPr>
        <w:t>Plan for temporary staffing solutions and flexible scheduling.</w:t>
      </w:r>
      <w:r w:rsidRPr="00A00E1A">
        <w:rPr>
          <w:rFonts w:ascii="Aptos" w:hAnsi="Aptos" w:cs="Aptos"/>
          <w:color w:val="000000" w:themeColor="text1"/>
        </w:rPr>
        <w:t> </w:t>
      </w:r>
    </w:p>
    <w:p w14:paraId="00ED387E" w14:textId="77777777" w:rsidR="00A00E1A" w:rsidRPr="00A00E1A" w:rsidRDefault="00A00E1A" w:rsidP="00A00E1A">
      <w:pPr>
        <w:numPr>
          <w:ilvl w:val="0"/>
          <w:numId w:val="28"/>
        </w:numPr>
        <w:rPr>
          <w:color w:val="000000" w:themeColor="text1"/>
        </w:rPr>
      </w:pPr>
      <w:r w:rsidRPr="00A00E1A">
        <w:rPr>
          <w:color w:val="000000" w:themeColor="text1"/>
        </w:rPr>
        <w:t>Risk:</w:t>
      </w:r>
      <w:r w:rsidRPr="00A00E1A">
        <w:rPr>
          <w:rFonts w:ascii="Arial" w:hAnsi="Arial" w:cs="Arial"/>
          <w:color w:val="000000" w:themeColor="text1"/>
        </w:rPr>
        <w:t> </w:t>
      </w:r>
      <w:r w:rsidRPr="00A00E1A">
        <w:rPr>
          <w:color w:val="000000" w:themeColor="text1"/>
        </w:rPr>
        <w:t>The Nursing Associate may leave after qualification.</w:t>
      </w:r>
      <w:r w:rsidRPr="00A00E1A">
        <w:rPr>
          <w:rFonts w:ascii="Aptos" w:hAnsi="Aptos" w:cs="Aptos"/>
          <w:color w:val="000000" w:themeColor="text1"/>
        </w:rPr>
        <w:t> </w:t>
      </w:r>
    </w:p>
    <w:p w14:paraId="279CF74B" w14:textId="77777777" w:rsidR="00A00E1A" w:rsidRPr="00A00E1A" w:rsidRDefault="00A00E1A" w:rsidP="00A00E1A">
      <w:pPr>
        <w:numPr>
          <w:ilvl w:val="0"/>
          <w:numId w:val="29"/>
        </w:numPr>
        <w:rPr>
          <w:color w:val="000000" w:themeColor="text1"/>
        </w:rPr>
      </w:pPr>
      <w:r w:rsidRPr="00A00E1A">
        <w:rPr>
          <w:color w:val="000000" w:themeColor="text1"/>
        </w:rPr>
        <w:t>Mitigation:</w:t>
      </w:r>
      <w:r w:rsidRPr="00A00E1A">
        <w:rPr>
          <w:rFonts w:ascii="Arial" w:hAnsi="Arial" w:cs="Arial"/>
          <w:color w:val="000000" w:themeColor="text1"/>
        </w:rPr>
        <w:t> </w:t>
      </w:r>
      <w:r w:rsidRPr="00A00E1A">
        <w:rPr>
          <w:color w:val="000000" w:themeColor="text1"/>
        </w:rPr>
        <w:t>Implement retention strategies, such as career progression opportunities and competitive</w:t>
      </w:r>
      <w:r w:rsidRPr="00A00E1A">
        <w:rPr>
          <w:rFonts w:ascii="Aptos" w:hAnsi="Aptos" w:cs="Aptos"/>
          <w:color w:val="000000" w:themeColor="text1"/>
        </w:rPr>
        <w:t> </w:t>
      </w:r>
      <w:r w:rsidRPr="00A00E1A">
        <w:rPr>
          <w:color w:val="000000" w:themeColor="text1"/>
        </w:rPr>
        <w:t>remuneration.</w:t>
      </w:r>
      <w:r w:rsidRPr="00A00E1A">
        <w:rPr>
          <w:rFonts w:ascii="Aptos" w:hAnsi="Aptos" w:cs="Aptos"/>
          <w:color w:val="000000" w:themeColor="text1"/>
        </w:rPr>
        <w:t> </w:t>
      </w:r>
    </w:p>
    <w:p w14:paraId="4BC7B098" w14:textId="77777777" w:rsidR="00A00E1A" w:rsidRPr="00A00E1A" w:rsidRDefault="00A00E1A" w:rsidP="00A00E1A">
      <w:pPr>
        <w:rPr>
          <w:color w:val="000000" w:themeColor="text1"/>
        </w:rPr>
      </w:pPr>
      <w:r w:rsidRPr="00A00E1A">
        <w:rPr>
          <w:color w:val="000000" w:themeColor="text1"/>
        </w:rPr>
        <w:t>  </w:t>
      </w:r>
    </w:p>
    <w:p w14:paraId="46CE8CF9" w14:textId="77777777" w:rsidR="00A00E1A" w:rsidRPr="00A00E1A" w:rsidRDefault="00A00E1A" w:rsidP="00A00E1A">
      <w:pPr>
        <w:rPr>
          <w:color w:val="000000" w:themeColor="text1"/>
        </w:rPr>
      </w:pPr>
      <w:r w:rsidRPr="00A00E1A">
        <w:rPr>
          <w:color w:val="000000" w:themeColor="text1"/>
        </w:rPr>
        <w:t>10. Conclusion: </w:t>
      </w:r>
    </w:p>
    <w:p w14:paraId="7D031534" w14:textId="77777777" w:rsidR="00A00E1A" w:rsidRPr="00A00E1A" w:rsidRDefault="00A00E1A" w:rsidP="00A00E1A">
      <w:pPr>
        <w:numPr>
          <w:ilvl w:val="0"/>
          <w:numId w:val="30"/>
        </w:numPr>
        <w:rPr>
          <w:color w:val="000000" w:themeColor="text1"/>
        </w:rPr>
      </w:pPr>
      <w:r w:rsidRPr="00A00E1A">
        <w:rPr>
          <w:color w:val="000000" w:themeColor="text1"/>
        </w:rPr>
        <w:t>Providing opportunities for junior staff to undertake apprenticeships within the workplace aligns with the goals of BNSSG Integrated Care System to improve patient care and support staff development and NHS England’s wider objectives of retaining staff within their roles.  [Add name of potential SNA apprentice] is an invaluable member of the team, who by completing the apprenticeship could develop her/his skills to become a Nurse Associate with extended skills which will benefit the patients and staff at the GP surgery.</w:t>
      </w:r>
    </w:p>
    <w:p w14:paraId="4267A161" w14:textId="77777777" w:rsidR="00A00E1A" w:rsidRDefault="00A00E1A"/>
    <w:sectPr w:rsidR="00A00E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27844" w14:textId="77777777" w:rsidR="00AA3EC2" w:rsidRDefault="00AA3EC2" w:rsidP="002C7B5E">
      <w:pPr>
        <w:spacing w:after="0" w:line="240" w:lineRule="auto"/>
      </w:pPr>
      <w:r>
        <w:separator/>
      </w:r>
    </w:p>
  </w:endnote>
  <w:endnote w:type="continuationSeparator" w:id="0">
    <w:p w14:paraId="0FA439B4" w14:textId="77777777" w:rsidR="00AA3EC2" w:rsidRDefault="00AA3EC2" w:rsidP="002C7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99376" w14:textId="55A03730" w:rsidR="002C7B5E" w:rsidRPr="002C7B5E" w:rsidRDefault="002C7B5E" w:rsidP="002C7B5E">
    <w:pPr>
      <w:rPr>
        <w:b/>
        <w:bCs/>
        <w:sz w:val="16"/>
        <w:szCs w:val="16"/>
      </w:rPr>
    </w:pPr>
    <w:r w:rsidRPr="002C7B5E">
      <w:rPr>
        <w:b/>
        <w:bCs/>
        <w:sz w:val="16"/>
        <w:szCs w:val="16"/>
      </w:rPr>
      <w:t xml:space="preserve">Business Case: </w:t>
    </w:r>
    <w:r w:rsidRPr="002C7B5E">
      <w:rPr>
        <w:b/>
        <w:bCs/>
        <w:sz w:val="16"/>
        <w:szCs w:val="16"/>
      </w:rPr>
      <w:t>Training Healthcare Assistant to become a Nursing Associate</w:t>
    </w:r>
    <w:r w:rsidRPr="002C7B5E">
      <w:rPr>
        <w:b/>
        <w:bCs/>
        <w:sz w:val="16"/>
        <w:szCs w:val="16"/>
      </w:rPr>
      <w:t xml:space="preserve"> v1 JB 03.2026</w:t>
    </w:r>
  </w:p>
  <w:p w14:paraId="4415C99E" w14:textId="1EFB0B49" w:rsidR="002C7B5E" w:rsidRDefault="002C7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6DB84" w14:textId="77777777" w:rsidR="00AA3EC2" w:rsidRDefault="00AA3EC2" w:rsidP="002C7B5E">
      <w:pPr>
        <w:spacing w:after="0" w:line="240" w:lineRule="auto"/>
      </w:pPr>
      <w:r>
        <w:separator/>
      </w:r>
    </w:p>
  </w:footnote>
  <w:footnote w:type="continuationSeparator" w:id="0">
    <w:p w14:paraId="3024B9F3" w14:textId="77777777" w:rsidR="00AA3EC2" w:rsidRDefault="00AA3EC2" w:rsidP="002C7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12630"/>
    <w:multiLevelType w:val="multilevel"/>
    <w:tmpl w:val="723E1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35308"/>
    <w:multiLevelType w:val="multilevel"/>
    <w:tmpl w:val="57746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D2843"/>
    <w:multiLevelType w:val="multilevel"/>
    <w:tmpl w:val="A016D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E5257"/>
    <w:multiLevelType w:val="multilevel"/>
    <w:tmpl w:val="1D5A8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76AD0"/>
    <w:multiLevelType w:val="multilevel"/>
    <w:tmpl w:val="D880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738CB"/>
    <w:multiLevelType w:val="multilevel"/>
    <w:tmpl w:val="21C86D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3D2CD4"/>
    <w:multiLevelType w:val="multilevel"/>
    <w:tmpl w:val="11426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B347EF"/>
    <w:multiLevelType w:val="multilevel"/>
    <w:tmpl w:val="C46C1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268AD"/>
    <w:multiLevelType w:val="multilevel"/>
    <w:tmpl w:val="FEAC9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64413"/>
    <w:multiLevelType w:val="multilevel"/>
    <w:tmpl w:val="815AE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B95311"/>
    <w:multiLevelType w:val="multilevel"/>
    <w:tmpl w:val="ECD40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292FD6"/>
    <w:multiLevelType w:val="multilevel"/>
    <w:tmpl w:val="B2F02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144270"/>
    <w:multiLevelType w:val="multilevel"/>
    <w:tmpl w:val="195A1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36161"/>
    <w:multiLevelType w:val="multilevel"/>
    <w:tmpl w:val="48205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70968"/>
    <w:multiLevelType w:val="multilevel"/>
    <w:tmpl w:val="F5C04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9D7C6D"/>
    <w:multiLevelType w:val="multilevel"/>
    <w:tmpl w:val="78560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C41855"/>
    <w:multiLevelType w:val="multilevel"/>
    <w:tmpl w:val="46B04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F611C0"/>
    <w:multiLevelType w:val="multilevel"/>
    <w:tmpl w:val="4EF0C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53F64"/>
    <w:multiLevelType w:val="multilevel"/>
    <w:tmpl w:val="49B64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0365C"/>
    <w:multiLevelType w:val="multilevel"/>
    <w:tmpl w:val="5470A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232AF8"/>
    <w:multiLevelType w:val="multilevel"/>
    <w:tmpl w:val="68A28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676F48"/>
    <w:multiLevelType w:val="multilevel"/>
    <w:tmpl w:val="E2BE19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6C31B4"/>
    <w:multiLevelType w:val="multilevel"/>
    <w:tmpl w:val="23D62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1B70C5"/>
    <w:multiLevelType w:val="multilevel"/>
    <w:tmpl w:val="E604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8A57F6"/>
    <w:multiLevelType w:val="multilevel"/>
    <w:tmpl w:val="7F8EC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E4C3B"/>
    <w:multiLevelType w:val="multilevel"/>
    <w:tmpl w:val="7A3A7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54471D"/>
    <w:multiLevelType w:val="multilevel"/>
    <w:tmpl w:val="DEF2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A12382"/>
    <w:multiLevelType w:val="multilevel"/>
    <w:tmpl w:val="B7BAF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192007"/>
    <w:multiLevelType w:val="multilevel"/>
    <w:tmpl w:val="CF3A9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D2834"/>
    <w:multiLevelType w:val="multilevel"/>
    <w:tmpl w:val="FA704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75537619">
    <w:abstractNumId w:val="28"/>
  </w:num>
  <w:num w:numId="2" w16cid:durableId="901797789">
    <w:abstractNumId w:val="15"/>
  </w:num>
  <w:num w:numId="3" w16cid:durableId="1211572475">
    <w:abstractNumId w:val="3"/>
  </w:num>
  <w:num w:numId="4" w16cid:durableId="320044945">
    <w:abstractNumId w:val="20"/>
  </w:num>
  <w:num w:numId="5" w16cid:durableId="2060785851">
    <w:abstractNumId w:val="6"/>
  </w:num>
  <w:num w:numId="6" w16cid:durableId="1245606461">
    <w:abstractNumId w:val="21"/>
  </w:num>
  <w:num w:numId="7" w16cid:durableId="1739858182">
    <w:abstractNumId w:val="2"/>
  </w:num>
  <w:num w:numId="8" w16cid:durableId="1283461149">
    <w:abstractNumId w:val="23"/>
  </w:num>
  <w:num w:numId="9" w16cid:durableId="5986097">
    <w:abstractNumId w:val="22"/>
  </w:num>
  <w:num w:numId="10" w16cid:durableId="1954902552">
    <w:abstractNumId w:val="5"/>
  </w:num>
  <w:num w:numId="11" w16cid:durableId="414979232">
    <w:abstractNumId w:val="17"/>
  </w:num>
  <w:num w:numId="12" w16cid:durableId="403181117">
    <w:abstractNumId w:val="11"/>
  </w:num>
  <w:num w:numId="13" w16cid:durableId="2071339120">
    <w:abstractNumId w:val="9"/>
  </w:num>
  <w:num w:numId="14" w16cid:durableId="435321828">
    <w:abstractNumId w:val="4"/>
  </w:num>
  <w:num w:numId="15" w16cid:durableId="1171026332">
    <w:abstractNumId w:val="10"/>
  </w:num>
  <w:num w:numId="16" w16cid:durableId="1132333849">
    <w:abstractNumId w:val="7"/>
  </w:num>
  <w:num w:numId="17" w16cid:durableId="893009900">
    <w:abstractNumId w:val="13"/>
  </w:num>
  <w:num w:numId="18" w16cid:durableId="1833137148">
    <w:abstractNumId w:val="16"/>
  </w:num>
  <w:num w:numId="19" w16cid:durableId="594166070">
    <w:abstractNumId w:val="25"/>
  </w:num>
  <w:num w:numId="20" w16cid:durableId="11811224">
    <w:abstractNumId w:val="26"/>
  </w:num>
  <w:num w:numId="21" w16cid:durableId="377553635">
    <w:abstractNumId w:val="24"/>
  </w:num>
  <w:num w:numId="22" w16cid:durableId="1219048858">
    <w:abstractNumId w:val="14"/>
  </w:num>
  <w:num w:numId="23" w16cid:durableId="1595895425">
    <w:abstractNumId w:val="1"/>
  </w:num>
  <w:num w:numId="24" w16cid:durableId="2131169066">
    <w:abstractNumId w:val="27"/>
  </w:num>
  <w:num w:numId="25" w16cid:durableId="1439369491">
    <w:abstractNumId w:val="0"/>
  </w:num>
  <w:num w:numId="26" w16cid:durableId="129131187">
    <w:abstractNumId w:val="12"/>
  </w:num>
  <w:num w:numId="27" w16cid:durableId="1567454937">
    <w:abstractNumId w:val="19"/>
  </w:num>
  <w:num w:numId="28" w16cid:durableId="978732885">
    <w:abstractNumId w:val="18"/>
  </w:num>
  <w:num w:numId="29" w16cid:durableId="561603079">
    <w:abstractNumId w:val="29"/>
  </w:num>
  <w:num w:numId="30" w16cid:durableId="1768964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A"/>
    <w:rsid w:val="002C7B5E"/>
    <w:rsid w:val="005660CA"/>
    <w:rsid w:val="00A00E1A"/>
    <w:rsid w:val="00AA3EC2"/>
    <w:rsid w:val="00D4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50E9"/>
  <w15:chartTrackingRefBased/>
  <w15:docId w15:val="{E3E95A20-129A-40F4-BB21-90C8EE70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A"/>
  </w:style>
  <w:style w:type="paragraph" w:styleId="Heading1">
    <w:name w:val="heading 1"/>
    <w:basedOn w:val="Normal"/>
    <w:next w:val="Normal"/>
    <w:link w:val="Heading1Char"/>
    <w:uiPriority w:val="9"/>
    <w:qFormat/>
    <w:rsid w:val="00A00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E1A"/>
    <w:rPr>
      <w:rFonts w:eastAsiaTheme="majorEastAsia" w:cstheme="majorBidi"/>
      <w:color w:val="272727" w:themeColor="text1" w:themeTint="D8"/>
    </w:rPr>
  </w:style>
  <w:style w:type="paragraph" w:styleId="Title">
    <w:name w:val="Title"/>
    <w:basedOn w:val="Normal"/>
    <w:next w:val="Normal"/>
    <w:link w:val="TitleChar"/>
    <w:uiPriority w:val="10"/>
    <w:qFormat/>
    <w:rsid w:val="00A00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E1A"/>
    <w:pPr>
      <w:spacing w:before="160"/>
      <w:jc w:val="center"/>
    </w:pPr>
    <w:rPr>
      <w:i/>
      <w:iCs/>
      <w:color w:val="404040" w:themeColor="text1" w:themeTint="BF"/>
    </w:rPr>
  </w:style>
  <w:style w:type="character" w:customStyle="1" w:styleId="QuoteChar">
    <w:name w:val="Quote Char"/>
    <w:basedOn w:val="DefaultParagraphFont"/>
    <w:link w:val="Quote"/>
    <w:uiPriority w:val="29"/>
    <w:rsid w:val="00A00E1A"/>
    <w:rPr>
      <w:i/>
      <w:iCs/>
      <w:color w:val="404040" w:themeColor="text1" w:themeTint="BF"/>
    </w:rPr>
  </w:style>
  <w:style w:type="paragraph" w:styleId="ListParagraph">
    <w:name w:val="List Paragraph"/>
    <w:basedOn w:val="Normal"/>
    <w:uiPriority w:val="34"/>
    <w:qFormat/>
    <w:rsid w:val="00A00E1A"/>
    <w:pPr>
      <w:ind w:left="720"/>
      <w:contextualSpacing/>
    </w:pPr>
  </w:style>
  <w:style w:type="character" w:styleId="IntenseEmphasis">
    <w:name w:val="Intense Emphasis"/>
    <w:basedOn w:val="DefaultParagraphFont"/>
    <w:uiPriority w:val="21"/>
    <w:qFormat/>
    <w:rsid w:val="00A00E1A"/>
    <w:rPr>
      <w:i/>
      <w:iCs/>
      <w:color w:val="0F4761" w:themeColor="accent1" w:themeShade="BF"/>
    </w:rPr>
  </w:style>
  <w:style w:type="paragraph" w:styleId="IntenseQuote">
    <w:name w:val="Intense Quote"/>
    <w:basedOn w:val="Normal"/>
    <w:next w:val="Normal"/>
    <w:link w:val="IntenseQuoteChar"/>
    <w:uiPriority w:val="30"/>
    <w:qFormat/>
    <w:rsid w:val="00A00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E1A"/>
    <w:rPr>
      <w:i/>
      <w:iCs/>
      <w:color w:val="0F4761" w:themeColor="accent1" w:themeShade="BF"/>
    </w:rPr>
  </w:style>
  <w:style w:type="character" w:styleId="IntenseReference">
    <w:name w:val="Intense Reference"/>
    <w:basedOn w:val="DefaultParagraphFont"/>
    <w:uiPriority w:val="32"/>
    <w:qFormat/>
    <w:rsid w:val="00A00E1A"/>
    <w:rPr>
      <w:b/>
      <w:bCs/>
      <w:smallCaps/>
      <w:color w:val="0F4761" w:themeColor="accent1" w:themeShade="BF"/>
      <w:spacing w:val="5"/>
    </w:rPr>
  </w:style>
  <w:style w:type="character" w:styleId="Hyperlink">
    <w:name w:val="Hyperlink"/>
    <w:basedOn w:val="DefaultParagraphFont"/>
    <w:uiPriority w:val="99"/>
    <w:unhideWhenUsed/>
    <w:rsid w:val="00A00E1A"/>
    <w:rPr>
      <w:color w:val="467886" w:themeColor="hyperlink"/>
      <w:u w:val="single"/>
    </w:rPr>
  </w:style>
  <w:style w:type="paragraph" w:styleId="Header">
    <w:name w:val="header"/>
    <w:basedOn w:val="Normal"/>
    <w:link w:val="HeaderChar"/>
    <w:uiPriority w:val="99"/>
    <w:unhideWhenUsed/>
    <w:rsid w:val="002C7B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B5E"/>
  </w:style>
  <w:style w:type="paragraph" w:styleId="Footer">
    <w:name w:val="footer"/>
    <w:basedOn w:val="Normal"/>
    <w:link w:val="FooterChar"/>
    <w:uiPriority w:val="99"/>
    <w:unhideWhenUsed/>
    <w:rsid w:val="002C7B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sites/default/files/documents/Nursing%20Associates%20-%20Growing%20Your%20Own%20or%20Developing%20Existing%20Staff%20and%20Retaining%20Tal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e.nhs.uk/our-work/student-hub-1/student-nursing-associate-hu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apprenticeship-funding-rules-2025-to-2026" TargetMode="External"/><Relationship Id="rId4" Type="http://schemas.openxmlformats.org/officeDocument/2006/relationships/webSettings" Target="webSettings.xml"/><Relationship Id="rId9" Type="http://schemas.openxmlformats.org/officeDocument/2006/relationships/hyperlink" Target="https://www.gov.uk/government/publications/apprenticeship-funding-rules-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Bowen</dc:creator>
  <cp:keywords/>
  <dc:description/>
  <cp:lastModifiedBy>Jenny Bowen</cp:lastModifiedBy>
  <cp:revision>2</cp:revision>
  <dcterms:created xsi:type="dcterms:W3CDTF">2026-03-24T15:08:00Z</dcterms:created>
  <dcterms:modified xsi:type="dcterms:W3CDTF">2026-03-24T15:27:00Z</dcterms:modified>
</cp:coreProperties>
</file>