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98" w:rsidRDefault="00B950DA" w:rsidP="00163B2E">
      <w:pPr>
        <w:tabs>
          <w:tab w:val="left" w:pos="1701"/>
        </w:tabs>
      </w:pPr>
      <w:r>
        <w:rPr>
          <w:noProof/>
          <w:lang w:eastAsia="en-GB"/>
        </w:rPr>
        <w:drawing>
          <wp:anchor distT="0" distB="0" distL="114300" distR="114300" simplePos="0" relativeHeight="251721728" behindDoc="0" locked="0" layoutInCell="1" allowOverlap="1" wp14:anchorId="6E362620" wp14:editId="6C85EBED">
            <wp:simplePos x="0" y="0"/>
            <wp:positionH relativeFrom="page">
              <wp:posOffset>3502660</wp:posOffset>
            </wp:positionH>
            <wp:positionV relativeFrom="paragraph">
              <wp:posOffset>0</wp:posOffset>
            </wp:positionV>
            <wp:extent cx="4050665" cy="1819910"/>
            <wp:effectExtent l="0" t="0" r="698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and logo in 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0665" cy="1819910"/>
                    </a:xfrm>
                    <a:prstGeom prst="rect">
                      <a:avLst/>
                    </a:prstGeom>
                  </pic:spPr>
                </pic:pic>
              </a:graphicData>
            </a:graphic>
            <wp14:sizeRelH relativeFrom="page">
              <wp14:pctWidth>0</wp14:pctWidth>
            </wp14:sizeRelH>
            <wp14:sizeRelV relativeFrom="page">
              <wp14:pctHeight>0</wp14:pctHeight>
            </wp14:sizeRelV>
          </wp:anchor>
        </w:drawing>
      </w:r>
    </w:p>
    <w:p w:rsidR="00FF0498" w:rsidRDefault="00FF0498" w:rsidP="00163B2E">
      <w:pPr>
        <w:tabs>
          <w:tab w:val="left" w:pos="1701"/>
        </w:tabs>
      </w:pPr>
    </w:p>
    <w:p w:rsidR="00FF0498" w:rsidRDefault="00FF0498" w:rsidP="00163B2E">
      <w:pPr>
        <w:tabs>
          <w:tab w:val="left" w:pos="1701"/>
        </w:tabs>
      </w:pPr>
    </w:p>
    <w:p w:rsidR="00FF0498" w:rsidRDefault="00FF0498" w:rsidP="00163B2E">
      <w:pPr>
        <w:tabs>
          <w:tab w:val="left" w:pos="1701"/>
        </w:tabs>
      </w:pPr>
    </w:p>
    <w:p w:rsidR="008764C3" w:rsidRDefault="008764C3" w:rsidP="00163B2E">
      <w:pPr>
        <w:tabs>
          <w:tab w:val="left" w:pos="1701"/>
        </w:tabs>
      </w:pPr>
    </w:p>
    <w:p w:rsidR="00A4348D" w:rsidRDefault="00A4348D" w:rsidP="00A4348D">
      <w:pPr>
        <w:pStyle w:val="ReportTitle"/>
      </w:pPr>
    </w:p>
    <w:p w:rsidR="00A4348D" w:rsidRDefault="00A4348D" w:rsidP="00A4348D">
      <w:pPr>
        <w:pStyle w:val="ReportTitle"/>
      </w:pPr>
      <w:r>
        <w:t>Mental Health Occupational Therapy in Primary Care:</w:t>
      </w:r>
    </w:p>
    <w:p w:rsidR="00A4348D" w:rsidRDefault="00277398" w:rsidP="00A4348D">
      <w:pPr>
        <w:pStyle w:val="ReportTitle"/>
      </w:pPr>
      <w:r>
        <w:t>The potential</w:t>
      </w:r>
      <w:r w:rsidR="00A4348D">
        <w:t xml:space="preserve"> for </w:t>
      </w:r>
      <w:r>
        <w:t xml:space="preserve">GP </w:t>
      </w:r>
      <w:r w:rsidR="00A4348D">
        <w:t>practice in Wharfedale, Airedale and Craven</w:t>
      </w:r>
    </w:p>
    <w:p w:rsidR="00B950DA" w:rsidRPr="003E337D" w:rsidRDefault="00B950DA" w:rsidP="00B950DA">
      <w:pPr>
        <w:pStyle w:val="ReportSubtitle"/>
      </w:pPr>
      <w:r>
        <w:t>Bradford District Care</w:t>
      </w:r>
      <w:r w:rsidR="00845E2E">
        <w:t xml:space="preserve"> NHS</w:t>
      </w:r>
      <w:r>
        <w:t xml:space="preserve"> Foundation Trust </w:t>
      </w:r>
    </w:p>
    <w:p w:rsidR="00B950DA" w:rsidRDefault="00B950DA" w:rsidP="00B950DA">
      <w:pPr>
        <w:pStyle w:val="ReportSpaceParagraph"/>
      </w:pPr>
    </w:p>
    <w:p w:rsidR="0067414C" w:rsidRDefault="00A4348D" w:rsidP="0067414C">
      <w:pPr>
        <w:spacing w:after="0" w:line="240" w:lineRule="auto"/>
        <w:rPr>
          <w:rFonts w:ascii="Arial" w:hAnsi="Arial" w:cs="Arial"/>
          <w:color w:val="000000"/>
          <w:sz w:val="28"/>
          <w:szCs w:val="28"/>
        </w:rPr>
      </w:pPr>
      <w:r>
        <w:rPr>
          <w:noProof/>
          <w:lang w:eastAsia="en-GB"/>
        </w:rPr>
        <w:drawing>
          <wp:inline distT="0" distB="0" distL="0" distR="0" wp14:anchorId="49E8DC04" wp14:editId="054D5E06">
            <wp:extent cx="5143400" cy="3500672"/>
            <wp:effectExtent l="0" t="0" r="635" b="5080"/>
            <wp:docPr id="2057" name="Picture 2057" descr="C:\Users\cwright\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right\Picture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7951" cy="3503769"/>
                    </a:xfrm>
                    <a:prstGeom prst="rect">
                      <a:avLst/>
                    </a:prstGeom>
                    <a:noFill/>
                    <a:ln>
                      <a:noFill/>
                    </a:ln>
                  </pic:spPr>
                </pic:pic>
              </a:graphicData>
            </a:graphic>
          </wp:inline>
        </w:drawing>
      </w:r>
    </w:p>
    <w:p w:rsidR="00A4348D" w:rsidRDefault="00A4348D" w:rsidP="00A4348D">
      <w:pPr>
        <w:spacing w:after="0" w:line="240" w:lineRule="auto"/>
        <w:rPr>
          <w:rFonts w:ascii="Arial" w:hAnsi="Arial" w:cs="Arial"/>
          <w:sz w:val="24"/>
          <w:szCs w:val="24"/>
        </w:rPr>
      </w:pPr>
    </w:p>
    <w:p w:rsidR="00A4348D" w:rsidRDefault="00A4348D" w:rsidP="00A4348D">
      <w:pPr>
        <w:spacing w:after="0" w:line="240" w:lineRule="auto"/>
        <w:rPr>
          <w:rFonts w:ascii="Arial" w:hAnsi="Arial" w:cs="Arial"/>
          <w:sz w:val="24"/>
          <w:szCs w:val="24"/>
        </w:rPr>
      </w:pPr>
      <w:r>
        <w:rPr>
          <w:rFonts w:ascii="Arial" w:hAnsi="Arial" w:cs="Arial"/>
          <w:sz w:val="24"/>
          <w:szCs w:val="24"/>
        </w:rPr>
        <w:t xml:space="preserve">Cathy Wright </w:t>
      </w:r>
    </w:p>
    <w:p w:rsidR="00A4348D" w:rsidRDefault="00A4348D" w:rsidP="00A4348D">
      <w:pPr>
        <w:spacing w:after="0" w:line="240" w:lineRule="auto"/>
        <w:rPr>
          <w:rFonts w:ascii="Arial" w:hAnsi="Arial" w:cs="Arial"/>
          <w:sz w:val="24"/>
          <w:szCs w:val="24"/>
        </w:rPr>
      </w:pPr>
      <w:r>
        <w:rPr>
          <w:rFonts w:ascii="Arial" w:hAnsi="Arial" w:cs="Arial"/>
          <w:sz w:val="24"/>
          <w:szCs w:val="24"/>
        </w:rPr>
        <w:t>Allied Health Professions Lead</w:t>
      </w:r>
    </w:p>
    <w:p w:rsidR="00A4348D" w:rsidRDefault="00A4348D" w:rsidP="00A4348D">
      <w:pPr>
        <w:spacing w:after="0" w:line="240" w:lineRule="auto"/>
        <w:rPr>
          <w:rFonts w:ascii="Arial" w:hAnsi="Arial" w:cs="Arial"/>
          <w:sz w:val="24"/>
          <w:szCs w:val="24"/>
        </w:rPr>
      </w:pPr>
      <w:r>
        <w:rPr>
          <w:rFonts w:ascii="Arial" w:hAnsi="Arial" w:cs="Arial"/>
          <w:sz w:val="24"/>
          <w:szCs w:val="24"/>
        </w:rPr>
        <w:t xml:space="preserve">Bradford District Care Foundation Trust </w:t>
      </w:r>
    </w:p>
    <w:p w:rsidR="00A4348D" w:rsidRPr="00F62020" w:rsidRDefault="00A4348D" w:rsidP="00A4348D">
      <w:pPr>
        <w:spacing w:after="0" w:line="240" w:lineRule="auto"/>
        <w:rPr>
          <w:rFonts w:ascii="Arial" w:hAnsi="Arial" w:cs="Arial"/>
          <w:sz w:val="24"/>
          <w:szCs w:val="24"/>
        </w:rPr>
      </w:pPr>
      <w:r>
        <w:rPr>
          <w:rFonts w:ascii="Arial" w:hAnsi="Arial" w:cs="Arial"/>
          <w:sz w:val="24"/>
          <w:szCs w:val="24"/>
        </w:rPr>
        <w:t>August 2020</w:t>
      </w:r>
    </w:p>
    <w:p w:rsidR="00A41C30" w:rsidRDefault="00A41C30" w:rsidP="0054072D">
      <w:pPr>
        <w:spacing w:after="0" w:line="240" w:lineRule="auto"/>
        <w:rPr>
          <w:noProof/>
          <w:lang w:eastAsia="en-GB"/>
        </w:rPr>
      </w:pPr>
    </w:p>
    <w:p w:rsidR="001F132E" w:rsidRDefault="001F132E" w:rsidP="0054072D">
      <w:pPr>
        <w:spacing w:after="0" w:line="240" w:lineRule="auto"/>
        <w:rPr>
          <w:noProof/>
          <w:lang w:eastAsia="en-GB"/>
        </w:rPr>
      </w:pPr>
    </w:p>
    <w:p w:rsidR="00A4348D" w:rsidRDefault="00A4348D" w:rsidP="0054072D">
      <w:pPr>
        <w:spacing w:after="0" w:line="240" w:lineRule="auto"/>
        <w:rPr>
          <w:noProof/>
          <w:lang w:eastAsia="en-GB"/>
        </w:rPr>
      </w:pPr>
    </w:p>
    <w:p w:rsidR="001F132E" w:rsidRDefault="001F132E" w:rsidP="0054072D">
      <w:pPr>
        <w:spacing w:after="0" w:line="240" w:lineRule="auto"/>
        <w:rPr>
          <w:rFonts w:ascii="Arial" w:hAnsi="Arial" w:cs="Arial"/>
          <w:b/>
          <w:bCs/>
          <w:sz w:val="24"/>
          <w:szCs w:val="24"/>
        </w:rPr>
      </w:pPr>
      <w:r w:rsidRPr="002A7F2C">
        <w:rPr>
          <w:rFonts w:ascii="Arial" w:hAnsi="Arial" w:cs="Arial"/>
          <w:b/>
          <w:bCs/>
          <w:sz w:val="24"/>
          <w:szCs w:val="24"/>
        </w:rPr>
        <w:t>Introduction and Background</w:t>
      </w:r>
    </w:p>
    <w:p w:rsidR="00706701" w:rsidRDefault="00706701" w:rsidP="00C1052A">
      <w:pPr>
        <w:spacing w:after="0" w:line="240" w:lineRule="auto"/>
        <w:jc w:val="both"/>
        <w:rPr>
          <w:rFonts w:ascii="Arial" w:hAnsi="Arial" w:cs="Arial"/>
          <w:sz w:val="24"/>
          <w:szCs w:val="24"/>
        </w:rPr>
      </w:pPr>
    </w:p>
    <w:p w:rsidR="00513197" w:rsidRDefault="00680272" w:rsidP="00C1052A">
      <w:pPr>
        <w:spacing w:after="0" w:line="240" w:lineRule="auto"/>
        <w:jc w:val="both"/>
        <w:rPr>
          <w:rFonts w:ascii="Arial" w:hAnsi="Arial" w:cs="Arial"/>
          <w:sz w:val="24"/>
          <w:szCs w:val="24"/>
        </w:rPr>
      </w:pPr>
      <w:r>
        <w:rPr>
          <w:rFonts w:ascii="Arial" w:hAnsi="Arial" w:cs="Arial"/>
          <w:sz w:val="24"/>
          <w:szCs w:val="24"/>
        </w:rPr>
        <w:t>The emphasis for enhancing Primary Care is set out in the Long Term Plan (2019</w:t>
      </w:r>
      <w:r w:rsidR="007E0E18">
        <w:rPr>
          <w:rFonts w:ascii="Arial" w:hAnsi="Arial" w:cs="Arial"/>
          <w:sz w:val="24"/>
          <w:szCs w:val="24"/>
        </w:rPr>
        <w:t xml:space="preserve">) with the requirement for enhanced community-based care and a focus on building capacity and capability within community services for </w:t>
      </w:r>
      <w:r w:rsidR="00C1052A">
        <w:rPr>
          <w:rFonts w:ascii="Arial" w:hAnsi="Arial" w:cs="Arial"/>
          <w:sz w:val="24"/>
          <w:szCs w:val="24"/>
        </w:rPr>
        <w:t xml:space="preserve">early intervention and </w:t>
      </w:r>
      <w:r w:rsidR="007E0E18">
        <w:rPr>
          <w:rFonts w:ascii="Arial" w:hAnsi="Arial" w:cs="Arial"/>
          <w:sz w:val="24"/>
          <w:szCs w:val="24"/>
        </w:rPr>
        <w:t>prevention of ill-health and supporting people to manage their own health and long-term conditions. Within this agenda is the investment in new roles and an inter-disciplinary workforce with the flexibility to support people with a range of needs as close to home as possible.</w:t>
      </w:r>
      <w:r w:rsidR="00C1052A">
        <w:rPr>
          <w:rFonts w:ascii="Arial" w:hAnsi="Arial" w:cs="Arial"/>
          <w:sz w:val="24"/>
          <w:szCs w:val="24"/>
        </w:rPr>
        <w:t xml:space="preserve"> For mental health, this included a major expansion to the mental health workforce and more integration between physical and mental health, with co-location of practitioners in primary care and mental health staff aligned to primary care networks. Arising from this is the publication of Investment and Evolution: A five-year framework for GP contract reform and implement the Long-Term Plan (</w:t>
      </w:r>
      <w:r w:rsidR="009E4D4D" w:rsidRPr="009E4D4D">
        <w:rPr>
          <w:rFonts w:ascii="Arial" w:hAnsi="Arial" w:cs="Arial"/>
          <w:sz w:val="24"/>
          <w:szCs w:val="24"/>
        </w:rPr>
        <w:t>NHS England</w:t>
      </w:r>
      <w:r w:rsidR="00C1052A" w:rsidRPr="009E4D4D">
        <w:rPr>
          <w:rFonts w:ascii="Arial" w:hAnsi="Arial" w:cs="Arial"/>
          <w:sz w:val="24"/>
          <w:szCs w:val="24"/>
        </w:rPr>
        <w:t xml:space="preserve"> </w:t>
      </w:r>
      <w:r w:rsidR="00C1052A">
        <w:rPr>
          <w:rFonts w:ascii="Arial" w:hAnsi="Arial" w:cs="Arial"/>
          <w:sz w:val="24"/>
          <w:szCs w:val="24"/>
        </w:rPr>
        <w:t xml:space="preserve">2019) </w:t>
      </w:r>
      <w:r w:rsidR="00AF7DDC">
        <w:rPr>
          <w:rFonts w:ascii="Arial" w:hAnsi="Arial" w:cs="Arial"/>
          <w:sz w:val="24"/>
          <w:szCs w:val="24"/>
        </w:rPr>
        <w:t>set out the plans for investment in new additional roles to expand the multi-disciplinary teams within primary care including Allied Health Professions roles such as physiotherapy and podiatry, alongside roles for community pharmacy and social prescribing. This framework was updated and expanded in February 2020</w:t>
      </w:r>
      <w:r w:rsidR="009E4D4D">
        <w:rPr>
          <w:rFonts w:ascii="Arial" w:hAnsi="Arial" w:cs="Arial"/>
          <w:sz w:val="24"/>
          <w:szCs w:val="24"/>
        </w:rPr>
        <w:t xml:space="preserve"> (NHSE 2020)</w:t>
      </w:r>
      <w:r w:rsidR="00AF7DDC">
        <w:rPr>
          <w:rFonts w:ascii="Arial" w:hAnsi="Arial" w:cs="Arial"/>
          <w:sz w:val="24"/>
          <w:szCs w:val="24"/>
        </w:rPr>
        <w:t xml:space="preserve"> to include investment in Occupational Therapists and Mental Health Practitioners. </w:t>
      </w:r>
    </w:p>
    <w:p w:rsidR="00513197" w:rsidRDefault="00513197" w:rsidP="00C1052A">
      <w:pPr>
        <w:spacing w:after="0" w:line="240" w:lineRule="auto"/>
        <w:jc w:val="both"/>
        <w:rPr>
          <w:rFonts w:ascii="Arial" w:hAnsi="Arial" w:cs="Arial"/>
          <w:sz w:val="24"/>
          <w:szCs w:val="24"/>
        </w:rPr>
      </w:pPr>
    </w:p>
    <w:p w:rsidR="00AF7DDC" w:rsidRPr="00680272" w:rsidRDefault="00AF7DDC" w:rsidP="00C1052A">
      <w:pPr>
        <w:spacing w:after="0" w:line="240" w:lineRule="auto"/>
        <w:jc w:val="both"/>
        <w:rPr>
          <w:rFonts w:ascii="Arial" w:hAnsi="Arial" w:cs="Arial"/>
          <w:sz w:val="24"/>
          <w:szCs w:val="24"/>
        </w:rPr>
      </w:pPr>
      <w:r>
        <w:rPr>
          <w:rFonts w:ascii="Arial" w:hAnsi="Arial" w:cs="Arial"/>
          <w:sz w:val="24"/>
          <w:szCs w:val="24"/>
        </w:rPr>
        <w:t>This paper presents a</w:t>
      </w:r>
      <w:r w:rsidR="00791696">
        <w:rPr>
          <w:rFonts w:ascii="Arial" w:hAnsi="Arial" w:cs="Arial"/>
          <w:sz w:val="24"/>
          <w:szCs w:val="24"/>
        </w:rPr>
        <w:t>n outline</w:t>
      </w:r>
      <w:r>
        <w:rPr>
          <w:rFonts w:ascii="Arial" w:hAnsi="Arial" w:cs="Arial"/>
          <w:sz w:val="24"/>
          <w:szCs w:val="24"/>
        </w:rPr>
        <w:t xml:space="preserve"> model for Mental Health Occupational Therapists within Primary Care in Wharfedale, Airedale and Craven.</w:t>
      </w:r>
    </w:p>
    <w:p w:rsidR="00F238BE" w:rsidRPr="00452D00" w:rsidRDefault="00F238BE" w:rsidP="0054072D">
      <w:pPr>
        <w:spacing w:after="0" w:line="240" w:lineRule="auto"/>
        <w:rPr>
          <w:rFonts w:ascii="Arial" w:hAnsi="Arial" w:cs="Arial"/>
          <w:b/>
          <w:bCs/>
          <w:sz w:val="24"/>
          <w:szCs w:val="24"/>
        </w:rPr>
      </w:pPr>
    </w:p>
    <w:p w:rsidR="00A67B69" w:rsidRDefault="00452D00" w:rsidP="00C7011F">
      <w:pPr>
        <w:spacing w:after="0" w:line="240" w:lineRule="auto"/>
        <w:jc w:val="both"/>
        <w:rPr>
          <w:rFonts w:ascii="Arial" w:hAnsi="Arial" w:cs="Arial"/>
          <w:b/>
          <w:bCs/>
          <w:sz w:val="24"/>
          <w:szCs w:val="24"/>
        </w:rPr>
      </w:pPr>
      <w:r>
        <w:rPr>
          <w:rFonts w:ascii="Arial" w:hAnsi="Arial" w:cs="Arial"/>
          <w:b/>
          <w:bCs/>
          <w:sz w:val="24"/>
          <w:szCs w:val="24"/>
        </w:rPr>
        <w:t>Primary Care and Mental Health: a role for Occupational Therapy</w:t>
      </w:r>
    </w:p>
    <w:p w:rsidR="00452D00" w:rsidRDefault="00452D00" w:rsidP="00C7011F">
      <w:pPr>
        <w:spacing w:after="0" w:line="240" w:lineRule="auto"/>
        <w:jc w:val="both"/>
        <w:rPr>
          <w:rFonts w:ascii="Arial" w:hAnsi="Arial" w:cs="Arial"/>
          <w:sz w:val="24"/>
          <w:szCs w:val="24"/>
        </w:rPr>
      </w:pPr>
      <w:r>
        <w:rPr>
          <w:rFonts w:ascii="Arial" w:hAnsi="Arial" w:cs="Arial"/>
          <w:sz w:val="24"/>
          <w:szCs w:val="24"/>
        </w:rPr>
        <w:t>Occupational Therapists</w:t>
      </w:r>
      <w:r w:rsidR="00C7011F">
        <w:rPr>
          <w:rFonts w:ascii="Arial" w:hAnsi="Arial" w:cs="Arial"/>
          <w:sz w:val="24"/>
          <w:szCs w:val="24"/>
        </w:rPr>
        <w:t>’</w:t>
      </w:r>
      <w:r>
        <w:rPr>
          <w:rFonts w:ascii="Arial" w:hAnsi="Arial" w:cs="Arial"/>
          <w:sz w:val="24"/>
          <w:szCs w:val="24"/>
        </w:rPr>
        <w:t xml:space="preserve"> </w:t>
      </w:r>
      <w:r w:rsidR="00C7011F">
        <w:rPr>
          <w:rFonts w:ascii="Arial" w:hAnsi="Arial" w:cs="Arial"/>
          <w:sz w:val="24"/>
          <w:szCs w:val="24"/>
        </w:rPr>
        <w:t xml:space="preserve">(OTs) core focus is to help people carry out all occupations of daily life and to enable people to do the things they want and need to do, and to live as full and independent lives as possible. They </w:t>
      </w:r>
      <w:r>
        <w:rPr>
          <w:rFonts w:ascii="Arial" w:hAnsi="Arial" w:cs="Arial"/>
          <w:sz w:val="24"/>
          <w:szCs w:val="24"/>
        </w:rPr>
        <w:t xml:space="preserve">support people of all ages with problems resulting from physical, mental, </w:t>
      </w:r>
      <w:r w:rsidR="00C7011F">
        <w:rPr>
          <w:rFonts w:ascii="Arial" w:hAnsi="Arial" w:cs="Arial"/>
          <w:sz w:val="24"/>
          <w:szCs w:val="24"/>
        </w:rPr>
        <w:t>social,</w:t>
      </w:r>
      <w:r>
        <w:rPr>
          <w:rFonts w:ascii="Arial" w:hAnsi="Arial" w:cs="Arial"/>
          <w:sz w:val="24"/>
          <w:szCs w:val="24"/>
        </w:rPr>
        <w:t xml:space="preserve"> or developmental difficulties</w:t>
      </w:r>
      <w:r w:rsidR="00C7011F">
        <w:rPr>
          <w:rFonts w:ascii="Arial" w:hAnsi="Arial" w:cs="Arial"/>
          <w:sz w:val="24"/>
          <w:szCs w:val="24"/>
        </w:rPr>
        <w:t>. B</w:t>
      </w:r>
      <w:r>
        <w:rPr>
          <w:rFonts w:ascii="Arial" w:hAnsi="Arial" w:cs="Arial"/>
          <w:sz w:val="24"/>
          <w:szCs w:val="24"/>
        </w:rPr>
        <w:t xml:space="preserve">eing dual trained in physical and mental health, with experience across </w:t>
      </w:r>
      <w:r w:rsidR="00C7011F">
        <w:rPr>
          <w:rFonts w:ascii="Arial" w:hAnsi="Arial" w:cs="Arial"/>
          <w:sz w:val="24"/>
          <w:szCs w:val="24"/>
        </w:rPr>
        <w:t>all ages and in acute, community, local authority services and the independent and voluntary sector, OTs offer am integrated bio-psychosocial approach well-aligned to the needs of primary care. OTs support people to find ways to continue with the everyday activities that are important to them, which could include learning new ways to do things or making changes to their environment. As patients’ needs are varied, OTs can help in primary care supporting people who are frail, with complex needs, those living with chronic and long term conditions, managing common mental health conditions such as anxiety and depression, providing support for people to return to or remain in work and for those who need rehabilitation to continue with their activities of daily living</w:t>
      </w:r>
      <w:r w:rsidR="004D2E8F">
        <w:rPr>
          <w:rFonts w:ascii="Arial" w:hAnsi="Arial" w:cs="Arial"/>
          <w:sz w:val="24"/>
          <w:szCs w:val="24"/>
        </w:rPr>
        <w:t xml:space="preserve"> (</w:t>
      </w:r>
      <w:r w:rsidR="00C34CC4">
        <w:rPr>
          <w:rFonts w:ascii="Arial" w:hAnsi="Arial" w:cs="Arial"/>
          <w:sz w:val="24"/>
          <w:szCs w:val="24"/>
        </w:rPr>
        <w:t>Royal College of Occupational Therapy</w:t>
      </w:r>
      <w:r w:rsidR="008374A6">
        <w:rPr>
          <w:rFonts w:ascii="Arial" w:hAnsi="Arial" w:cs="Arial"/>
          <w:sz w:val="24"/>
          <w:szCs w:val="24"/>
        </w:rPr>
        <w:t xml:space="preserve"> 2015</w:t>
      </w:r>
      <w:r w:rsidR="00C34CC4">
        <w:rPr>
          <w:rFonts w:ascii="Arial" w:hAnsi="Arial" w:cs="Arial"/>
          <w:sz w:val="24"/>
          <w:szCs w:val="24"/>
        </w:rPr>
        <w:t xml:space="preserve">). Studies of pilot projects already in place within primary care are showing the value of occupational therapy within this setting.   Results from a local pilot project in Leeds demonstrated that the integration of OTs into primary care has the potential to reduce pressure on GPs, lessen referrals to secondary services, positively impact on mental health and keep people well and independent at home (Brooks, Milligan and White 2017). Another study by Locas et al (2019) reported on how GPs considered OTs to effectively meet the many of the diverse needs people present with in primary care and improve the overall quality of primary care services. </w:t>
      </w:r>
    </w:p>
    <w:p w:rsidR="000B4D6F" w:rsidRDefault="000B4D6F" w:rsidP="00C7011F">
      <w:pPr>
        <w:spacing w:after="0" w:line="240" w:lineRule="auto"/>
        <w:jc w:val="both"/>
        <w:rPr>
          <w:rFonts w:ascii="Arial" w:hAnsi="Arial" w:cs="Arial"/>
          <w:sz w:val="24"/>
          <w:szCs w:val="24"/>
        </w:rPr>
      </w:pPr>
    </w:p>
    <w:p w:rsidR="000B4D6F" w:rsidRDefault="000B4D6F" w:rsidP="000B4D6F">
      <w:pPr>
        <w:spacing w:after="0" w:line="240" w:lineRule="auto"/>
        <w:jc w:val="both"/>
        <w:rPr>
          <w:rFonts w:ascii="Arial" w:hAnsi="Arial" w:cs="Arial"/>
          <w:b/>
          <w:bCs/>
          <w:sz w:val="24"/>
          <w:szCs w:val="24"/>
        </w:rPr>
      </w:pPr>
      <w:r w:rsidRPr="002A7F2C">
        <w:rPr>
          <w:rFonts w:ascii="Arial" w:hAnsi="Arial" w:cs="Arial"/>
          <w:b/>
          <w:bCs/>
          <w:sz w:val="24"/>
          <w:szCs w:val="24"/>
        </w:rPr>
        <w:t>The local context</w:t>
      </w:r>
      <w:r>
        <w:rPr>
          <w:rFonts w:ascii="Arial" w:hAnsi="Arial" w:cs="Arial"/>
          <w:b/>
          <w:bCs/>
          <w:sz w:val="24"/>
          <w:szCs w:val="24"/>
        </w:rPr>
        <w:t>: h</w:t>
      </w:r>
      <w:r w:rsidRPr="002A7F2C">
        <w:rPr>
          <w:rFonts w:ascii="Arial" w:hAnsi="Arial" w:cs="Arial"/>
          <w:b/>
          <w:bCs/>
          <w:sz w:val="24"/>
          <w:szCs w:val="24"/>
        </w:rPr>
        <w:t xml:space="preserve">ow OT roles in Primary Care could </w:t>
      </w:r>
      <w:r w:rsidR="00B350B4">
        <w:rPr>
          <w:rFonts w:ascii="Arial" w:hAnsi="Arial" w:cs="Arial"/>
          <w:b/>
          <w:bCs/>
          <w:sz w:val="24"/>
          <w:szCs w:val="24"/>
        </w:rPr>
        <w:t>add value</w:t>
      </w:r>
      <w:r w:rsidRPr="002A7F2C">
        <w:rPr>
          <w:rFonts w:ascii="Arial" w:hAnsi="Arial" w:cs="Arial"/>
          <w:b/>
          <w:bCs/>
          <w:sz w:val="24"/>
          <w:szCs w:val="24"/>
        </w:rPr>
        <w:t xml:space="preserve"> in Wharfedale, Airedale and Craven</w:t>
      </w:r>
    </w:p>
    <w:p w:rsidR="000B4D6F" w:rsidRDefault="000B4D6F" w:rsidP="000B4D6F">
      <w:pPr>
        <w:spacing w:after="0" w:line="240" w:lineRule="auto"/>
        <w:jc w:val="both"/>
        <w:rPr>
          <w:rFonts w:ascii="Arial" w:hAnsi="Arial" w:cs="Arial"/>
          <w:b/>
          <w:bCs/>
          <w:sz w:val="24"/>
          <w:szCs w:val="24"/>
        </w:rPr>
      </w:pPr>
    </w:p>
    <w:p w:rsidR="000B4D6F" w:rsidRDefault="000B4D6F" w:rsidP="000B4D6F">
      <w:pPr>
        <w:spacing w:after="0" w:line="240" w:lineRule="auto"/>
        <w:jc w:val="both"/>
        <w:rPr>
          <w:rFonts w:ascii="Arial" w:hAnsi="Arial" w:cs="Arial"/>
          <w:sz w:val="24"/>
          <w:szCs w:val="24"/>
        </w:rPr>
      </w:pPr>
      <w:r>
        <w:rPr>
          <w:rFonts w:ascii="Arial" w:hAnsi="Arial" w:cs="Arial"/>
          <w:sz w:val="24"/>
          <w:szCs w:val="24"/>
        </w:rPr>
        <w:t xml:space="preserve">Wharfedale, Airedale and Craven covers an area with a wide and diverse demographic both in the population, the geography, and the socio-economic needs across its communities. Data from the Health and Wellbeing Profile 2020 </w:t>
      </w:r>
      <w:bookmarkStart w:id="0" w:name="_Hlk49260110"/>
      <w:r>
        <w:rPr>
          <w:rFonts w:ascii="Arial" w:hAnsi="Arial" w:cs="Arial"/>
          <w:sz w:val="24"/>
          <w:szCs w:val="24"/>
        </w:rPr>
        <w:t xml:space="preserve">(Bradford City and Bradford Districts Clinical Commissioning Groups and Bradford Metropolitan Council) </w:t>
      </w:r>
      <w:bookmarkEnd w:id="0"/>
      <w:r>
        <w:rPr>
          <w:rFonts w:ascii="Arial" w:hAnsi="Arial" w:cs="Arial"/>
          <w:sz w:val="24"/>
          <w:szCs w:val="24"/>
        </w:rPr>
        <w:t>summarises the main needs for:</w:t>
      </w:r>
    </w:p>
    <w:p w:rsidR="000B4D6F" w:rsidRDefault="000B4D6F" w:rsidP="000B4D6F">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Wharfedale – An area of approximately 44,130 people, Wharfedale has a higher than average older population, with 26.4% of people aged over 65. This area is the least deprived in the Bradford district, with people on average experiencing better health, lower levels of mental health issues, smoking and obesity. However, there are higher numbers of people with dementia and multiple morbidity than in other parts of the district and with the ageing population, increasing frailty. </w:t>
      </w:r>
    </w:p>
    <w:p w:rsidR="000B4D6F" w:rsidRDefault="000B4D6F" w:rsidP="000B4D6F">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Airedale – An area of approximately 67,700 people and a more ethnically diverse population with 20% of people identifying as BAME. In comparison to Wharfedale and Craven, Airedale has a young population, with 23.8% being under 18 and 58.8% being of working age 18-65. There are higher levels of socio-economic deprivation and health related consequences, and higher than district average numbers with obesity related problems and also of people with mental health issues. Whilst numbers of older people are lower than in Wharfedale and Craven, there is increasing age-related frailty.</w:t>
      </w:r>
    </w:p>
    <w:p w:rsidR="000B4D6F" w:rsidRDefault="000B4D6F" w:rsidP="000B4D6F">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Craven – An area of approximately 44.400 people and a higher older age population. Craven has lower levels of deprivation in comparison to other areas in the district, higher than average life expectancy and lower rates of obesity and smoking. However, with an ageing population is a higher prevalence of people with long term conditions and dementia, age associated frailty and higher numbers of people who have caring responsibilities. The rurality and large geographical spread of Craven also brings its own challenges in terms of transport networks and access. </w:t>
      </w:r>
    </w:p>
    <w:p w:rsidR="000B4D6F" w:rsidRDefault="000B4D6F" w:rsidP="000B4D6F">
      <w:pPr>
        <w:spacing w:after="0" w:line="240" w:lineRule="auto"/>
        <w:jc w:val="both"/>
        <w:rPr>
          <w:rFonts w:ascii="Arial" w:hAnsi="Arial" w:cs="Arial"/>
          <w:sz w:val="24"/>
          <w:szCs w:val="24"/>
        </w:rPr>
      </w:pPr>
    </w:p>
    <w:p w:rsidR="000B4D6F" w:rsidRDefault="000B4D6F" w:rsidP="000B4D6F">
      <w:pPr>
        <w:spacing w:after="0" w:line="240" w:lineRule="auto"/>
        <w:jc w:val="both"/>
        <w:rPr>
          <w:rFonts w:ascii="Arial" w:hAnsi="Arial" w:cs="Arial"/>
          <w:sz w:val="24"/>
          <w:szCs w:val="24"/>
        </w:rPr>
      </w:pPr>
      <w:r>
        <w:rPr>
          <w:rFonts w:ascii="Arial" w:hAnsi="Arial" w:cs="Arial"/>
          <w:sz w:val="24"/>
          <w:szCs w:val="24"/>
        </w:rPr>
        <w:t xml:space="preserve">Additional to this are the added challenges from Covid-19 and the impact of the pandemic across the population, both for physical and mental health due to the specific consequences for Covid survivors, vulnerable and shielding groups and for all those whose lives have been displaced as a result. </w:t>
      </w:r>
      <w:r w:rsidRPr="003F33C2">
        <w:rPr>
          <w:rFonts w:ascii="Arial" w:hAnsi="Arial" w:cs="Arial"/>
          <w:sz w:val="24"/>
          <w:szCs w:val="24"/>
        </w:rPr>
        <w:t xml:space="preserve"> </w:t>
      </w:r>
    </w:p>
    <w:p w:rsidR="000B4D6F" w:rsidRDefault="000B4D6F" w:rsidP="000B4D6F">
      <w:pPr>
        <w:spacing w:after="0" w:line="240" w:lineRule="auto"/>
        <w:rPr>
          <w:rFonts w:ascii="Arial" w:hAnsi="Arial" w:cs="Arial"/>
          <w:sz w:val="24"/>
          <w:szCs w:val="24"/>
        </w:rPr>
      </w:pPr>
    </w:p>
    <w:p w:rsidR="00C34CC4" w:rsidRDefault="000B4D6F" w:rsidP="000B4D6F">
      <w:pPr>
        <w:spacing w:line="240" w:lineRule="auto"/>
        <w:jc w:val="both"/>
        <w:rPr>
          <w:rFonts w:ascii="Arial" w:hAnsi="Arial" w:cs="Arial"/>
          <w:sz w:val="24"/>
          <w:szCs w:val="24"/>
        </w:rPr>
      </w:pPr>
      <w:r>
        <w:rPr>
          <w:rFonts w:ascii="Arial" w:hAnsi="Arial" w:cs="Arial"/>
          <w:sz w:val="24"/>
          <w:szCs w:val="24"/>
        </w:rPr>
        <w:t xml:space="preserve">OTs have the integrated skills and are well-placed to respond to the diverse universal, targeted and specialist needs of people presenting within Wharfedale, Airedale and Craven and to provide high quality and innovative patient centred care in line with the values and vision that the Wharfedale, Airedale and Craven Alliance. </w:t>
      </w:r>
    </w:p>
    <w:p w:rsidR="00C34CC4" w:rsidRDefault="00C34CC4" w:rsidP="003D6F6D">
      <w:pPr>
        <w:spacing w:after="0" w:line="240" w:lineRule="auto"/>
        <w:jc w:val="both"/>
        <w:rPr>
          <w:rFonts w:ascii="Arial" w:hAnsi="Arial" w:cs="Arial"/>
          <w:sz w:val="24"/>
          <w:szCs w:val="24"/>
        </w:rPr>
      </w:pPr>
      <w:r>
        <w:rPr>
          <w:rFonts w:ascii="Arial" w:hAnsi="Arial" w:cs="Arial"/>
          <w:sz w:val="24"/>
          <w:szCs w:val="24"/>
        </w:rPr>
        <w:t>Different studies have listed</w:t>
      </w:r>
      <w:r w:rsidR="00CD3BD3">
        <w:rPr>
          <w:rFonts w:ascii="Arial" w:hAnsi="Arial" w:cs="Arial"/>
          <w:sz w:val="24"/>
          <w:szCs w:val="24"/>
        </w:rPr>
        <w:t xml:space="preserve"> and suggested</w:t>
      </w:r>
      <w:r>
        <w:rPr>
          <w:rFonts w:ascii="Arial" w:hAnsi="Arial" w:cs="Arial"/>
          <w:sz w:val="24"/>
          <w:szCs w:val="24"/>
        </w:rPr>
        <w:t xml:space="preserve"> the specific ways that OTs can work in primary care and make a difference</w:t>
      </w:r>
      <w:r w:rsidR="007B305D">
        <w:rPr>
          <w:rFonts w:ascii="Arial" w:hAnsi="Arial" w:cs="Arial"/>
          <w:sz w:val="24"/>
          <w:szCs w:val="24"/>
        </w:rPr>
        <w:t xml:space="preserve"> which </w:t>
      </w:r>
      <w:r>
        <w:rPr>
          <w:rFonts w:ascii="Arial" w:hAnsi="Arial" w:cs="Arial"/>
          <w:sz w:val="24"/>
          <w:szCs w:val="24"/>
        </w:rPr>
        <w:t>include:</w:t>
      </w:r>
    </w:p>
    <w:p w:rsidR="007B305D" w:rsidRDefault="007B305D" w:rsidP="003D6F6D">
      <w:pPr>
        <w:spacing w:after="0" w:line="240" w:lineRule="auto"/>
        <w:jc w:val="both"/>
        <w:rPr>
          <w:rFonts w:ascii="Arial" w:hAnsi="Arial" w:cs="Arial"/>
          <w:sz w:val="24"/>
          <w:szCs w:val="24"/>
        </w:rPr>
      </w:pPr>
    </w:p>
    <w:p w:rsidR="00C34CC4" w:rsidRDefault="00C34CC4" w:rsidP="003D6F6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Working with children and adolescents – supporting with diagnosis clarification such as with ADHD or Autism, screening and early intervention, functional and developmental assessment and interventions targeting parents and teachers. Within Airedale</w:t>
      </w:r>
      <w:r w:rsidR="002D4F4F">
        <w:rPr>
          <w:rFonts w:ascii="Arial" w:hAnsi="Arial" w:cs="Arial"/>
          <w:sz w:val="24"/>
          <w:szCs w:val="24"/>
        </w:rPr>
        <w:t>, Wharfedale and Craven</w:t>
      </w:r>
      <w:r>
        <w:rPr>
          <w:rFonts w:ascii="Arial" w:hAnsi="Arial" w:cs="Arial"/>
          <w:sz w:val="24"/>
          <w:szCs w:val="24"/>
        </w:rPr>
        <w:t xml:space="preserve"> this could be supporting work of school nursing or primary care mental health workers within Child and Adolescent Mental Health Services</w:t>
      </w:r>
      <w:r w:rsidR="002D4F4F">
        <w:rPr>
          <w:rFonts w:ascii="Arial" w:hAnsi="Arial" w:cs="Arial"/>
          <w:sz w:val="24"/>
          <w:szCs w:val="24"/>
        </w:rPr>
        <w:t>.</w:t>
      </w:r>
    </w:p>
    <w:p w:rsidR="00C34CC4" w:rsidRDefault="00C34CC4" w:rsidP="003D6F6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With working age adults – supporting with people with mental health, anxiety and mood disorders with recovery, relapse prevention, supporting return to work, improving lifestyle and occupational balance, </w:t>
      </w:r>
      <w:r w:rsidR="000942C5">
        <w:rPr>
          <w:rFonts w:ascii="Arial" w:hAnsi="Arial" w:cs="Arial"/>
          <w:sz w:val="24"/>
          <w:szCs w:val="24"/>
        </w:rPr>
        <w:t xml:space="preserve">interventions to improve functioning in everyday activities, </w:t>
      </w:r>
      <w:r w:rsidR="002D4F4F">
        <w:rPr>
          <w:rFonts w:ascii="Arial" w:hAnsi="Arial" w:cs="Arial"/>
          <w:sz w:val="24"/>
          <w:szCs w:val="24"/>
        </w:rPr>
        <w:t>teaching stress management strategies, and providing group interventions focused on recovery, based on activation and cognitive behavioural strategies. Within Airedale, Wharfedale and Craven, the OT would</w:t>
      </w:r>
      <w:r w:rsidR="006D741E">
        <w:rPr>
          <w:rFonts w:ascii="Arial" w:hAnsi="Arial" w:cs="Arial"/>
          <w:sz w:val="24"/>
          <w:szCs w:val="24"/>
        </w:rPr>
        <w:t xml:space="preserve"> work to build pathways with community health colleagues, linking with My Wellbeing College, mental health services and voluntary sector services and supporting social prescribing.</w:t>
      </w:r>
    </w:p>
    <w:p w:rsidR="002D4F4F" w:rsidRDefault="002D4F4F" w:rsidP="003D6F6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With older adults – supporting people with frailty, falls and functional decline, with neuro-cognitive impairment and end of life care</w:t>
      </w:r>
      <w:r w:rsidR="006D741E">
        <w:rPr>
          <w:rFonts w:ascii="Arial" w:hAnsi="Arial" w:cs="Arial"/>
          <w:sz w:val="24"/>
          <w:szCs w:val="24"/>
        </w:rPr>
        <w:t xml:space="preserve">, screening and assessing functional difficulties, helping people maintain independence and safety at home, </w:t>
      </w:r>
      <w:r w:rsidR="00CD3BD3">
        <w:rPr>
          <w:rFonts w:ascii="Arial" w:hAnsi="Arial" w:cs="Arial"/>
          <w:sz w:val="24"/>
          <w:szCs w:val="24"/>
        </w:rPr>
        <w:t xml:space="preserve">provide </w:t>
      </w:r>
      <w:r w:rsidR="006D741E">
        <w:rPr>
          <w:rFonts w:ascii="Arial" w:hAnsi="Arial" w:cs="Arial"/>
          <w:sz w:val="24"/>
          <w:szCs w:val="24"/>
        </w:rPr>
        <w:t xml:space="preserve">home </w:t>
      </w:r>
      <w:r w:rsidR="00CD3BD3">
        <w:rPr>
          <w:rFonts w:ascii="Arial" w:hAnsi="Arial" w:cs="Arial"/>
          <w:sz w:val="24"/>
          <w:szCs w:val="24"/>
        </w:rPr>
        <w:t xml:space="preserve">and environmental </w:t>
      </w:r>
      <w:r w:rsidR="006D741E">
        <w:rPr>
          <w:rFonts w:ascii="Arial" w:hAnsi="Arial" w:cs="Arial"/>
          <w:sz w:val="24"/>
          <w:szCs w:val="24"/>
        </w:rPr>
        <w:t>adaptations</w:t>
      </w:r>
      <w:r w:rsidR="00CD3BD3">
        <w:rPr>
          <w:rFonts w:ascii="Arial" w:hAnsi="Arial" w:cs="Arial"/>
          <w:sz w:val="24"/>
          <w:szCs w:val="24"/>
        </w:rPr>
        <w:t xml:space="preserve"> and</w:t>
      </w:r>
      <w:r w:rsidR="006D741E">
        <w:rPr>
          <w:rFonts w:ascii="Arial" w:hAnsi="Arial" w:cs="Arial"/>
          <w:sz w:val="24"/>
          <w:szCs w:val="24"/>
        </w:rPr>
        <w:t xml:space="preserve"> driving assessments. For mental health</w:t>
      </w:r>
      <w:r w:rsidR="00B350B4">
        <w:rPr>
          <w:rFonts w:ascii="Arial" w:hAnsi="Arial" w:cs="Arial"/>
          <w:sz w:val="24"/>
          <w:szCs w:val="24"/>
        </w:rPr>
        <w:t>,</w:t>
      </w:r>
      <w:r w:rsidR="006D741E">
        <w:rPr>
          <w:rFonts w:ascii="Arial" w:hAnsi="Arial" w:cs="Arial"/>
          <w:sz w:val="24"/>
          <w:szCs w:val="24"/>
        </w:rPr>
        <w:t xml:space="preserve"> OTs can help older people with mental health issues, anxiety</w:t>
      </w:r>
      <w:r w:rsidR="00CD3BD3">
        <w:rPr>
          <w:rFonts w:ascii="Arial" w:hAnsi="Arial" w:cs="Arial"/>
          <w:sz w:val="24"/>
          <w:szCs w:val="24"/>
        </w:rPr>
        <w:t>,</w:t>
      </w:r>
      <w:r w:rsidR="006D741E">
        <w:rPr>
          <w:rFonts w:ascii="Arial" w:hAnsi="Arial" w:cs="Arial"/>
          <w:sz w:val="24"/>
          <w:szCs w:val="24"/>
        </w:rPr>
        <w:t xml:space="preserve"> and low mood, </w:t>
      </w:r>
      <w:r w:rsidR="00B350B4">
        <w:rPr>
          <w:rFonts w:ascii="Arial" w:hAnsi="Arial" w:cs="Arial"/>
          <w:sz w:val="24"/>
          <w:szCs w:val="24"/>
        </w:rPr>
        <w:t>enabling</w:t>
      </w:r>
      <w:r w:rsidR="006D741E">
        <w:rPr>
          <w:rFonts w:ascii="Arial" w:hAnsi="Arial" w:cs="Arial"/>
          <w:sz w:val="24"/>
          <w:szCs w:val="24"/>
        </w:rPr>
        <w:t xml:space="preserve"> people </w:t>
      </w:r>
      <w:r w:rsidR="00B350B4">
        <w:rPr>
          <w:rFonts w:ascii="Arial" w:hAnsi="Arial" w:cs="Arial"/>
          <w:sz w:val="24"/>
          <w:szCs w:val="24"/>
        </w:rPr>
        <w:t xml:space="preserve">to </w:t>
      </w:r>
      <w:r w:rsidR="00CD3BD3">
        <w:rPr>
          <w:rFonts w:ascii="Arial" w:hAnsi="Arial" w:cs="Arial"/>
          <w:sz w:val="24"/>
          <w:szCs w:val="24"/>
        </w:rPr>
        <w:t>maintain daily occupations, and address difficulties such as social isolation and loneliness.</w:t>
      </w:r>
      <w:r w:rsidR="006D741E">
        <w:rPr>
          <w:rFonts w:ascii="Arial" w:hAnsi="Arial" w:cs="Arial"/>
          <w:sz w:val="24"/>
          <w:szCs w:val="24"/>
        </w:rPr>
        <w:t xml:space="preserve"> </w:t>
      </w:r>
      <w:r w:rsidR="00CD3BD3">
        <w:rPr>
          <w:rFonts w:ascii="Arial" w:hAnsi="Arial" w:cs="Arial"/>
          <w:sz w:val="24"/>
          <w:szCs w:val="24"/>
        </w:rPr>
        <w:t xml:space="preserve">Within Airedale, Bradford and Craven, the OTs would work to build links with community health and therapy services, older peoples mental health, voluntary sector and social prescribing and </w:t>
      </w:r>
      <w:r w:rsidR="006D741E">
        <w:rPr>
          <w:rFonts w:ascii="Arial" w:hAnsi="Arial" w:cs="Arial"/>
          <w:sz w:val="24"/>
          <w:szCs w:val="24"/>
        </w:rPr>
        <w:t xml:space="preserve">supporting </w:t>
      </w:r>
      <w:r w:rsidR="00CD3BD3">
        <w:rPr>
          <w:rFonts w:ascii="Arial" w:hAnsi="Arial" w:cs="Arial"/>
          <w:sz w:val="24"/>
          <w:szCs w:val="24"/>
        </w:rPr>
        <w:t xml:space="preserve">assessments for </w:t>
      </w:r>
      <w:r w:rsidR="006D741E">
        <w:rPr>
          <w:rFonts w:ascii="Arial" w:hAnsi="Arial" w:cs="Arial"/>
          <w:sz w:val="24"/>
          <w:szCs w:val="24"/>
        </w:rPr>
        <w:t>services such as memory clinic</w:t>
      </w:r>
      <w:r w:rsidR="00CD3BD3">
        <w:rPr>
          <w:rFonts w:ascii="Arial" w:hAnsi="Arial" w:cs="Arial"/>
          <w:sz w:val="24"/>
          <w:szCs w:val="24"/>
        </w:rPr>
        <w:t>s.</w:t>
      </w:r>
    </w:p>
    <w:p w:rsidR="00CD3BD3" w:rsidRDefault="00CD3BD3" w:rsidP="003D6F6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Other areas, where OTs can add value are with people with chronic pain or musculoskeletal conditions, helping with returning to work and workplace assessments, with pain and lifestyle and activity management strategies and linking with community therapy and specialist services. </w:t>
      </w:r>
    </w:p>
    <w:p w:rsidR="00B23BC0" w:rsidRPr="00C34CC4" w:rsidRDefault="00B23BC0" w:rsidP="003D6F6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Supporting with </w:t>
      </w:r>
      <w:r w:rsidR="00205203">
        <w:rPr>
          <w:rFonts w:ascii="Arial" w:hAnsi="Arial" w:cs="Arial"/>
          <w:sz w:val="24"/>
          <w:szCs w:val="24"/>
        </w:rPr>
        <w:t xml:space="preserve">on-going </w:t>
      </w:r>
      <w:r>
        <w:rPr>
          <w:rFonts w:ascii="Arial" w:hAnsi="Arial" w:cs="Arial"/>
          <w:sz w:val="24"/>
          <w:szCs w:val="24"/>
        </w:rPr>
        <w:t xml:space="preserve">staff training and </w:t>
      </w:r>
      <w:r w:rsidR="00205203">
        <w:rPr>
          <w:rFonts w:ascii="Arial" w:hAnsi="Arial" w:cs="Arial"/>
          <w:sz w:val="24"/>
          <w:szCs w:val="24"/>
        </w:rPr>
        <w:t xml:space="preserve">interdisciplinary </w:t>
      </w:r>
      <w:r>
        <w:rPr>
          <w:rFonts w:ascii="Arial" w:hAnsi="Arial" w:cs="Arial"/>
          <w:sz w:val="24"/>
          <w:szCs w:val="24"/>
        </w:rPr>
        <w:t xml:space="preserve">development across primary care and providing support and supervision for social prescribers. </w:t>
      </w:r>
    </w:p>
    <w:p w:rsidR="00452D00" w:rsidRPr="00C17EC4" w:rsidRDefault="00452D00" w:rsidP="003D6F6D">
      <w:pPr>
        <w:spacing w:after="0" w:line="240" w:lineRule="auto"/>
        <w:jc w:val="both"/>
        <w:rPr>
          <w:rFonts w:ascii="Arial" w:hAnsi="Arial" w:cs="Arial"/>
          <w:b/>
          <w:bCs/>
          <w:sz w:val="24"/>
          <w:szCs w:val="24"/>
        </w:rPr>
      </w:pPr>
    </w:p>
    <w:p w:rsidR="00457511" w:rsidRPr="00C17EC4" w:rsidRDefault="00CD3BD3" w:rsidP="003D6F6D">
      <w:pPr>
        <w:spacing w:after="0" w:line="240" w:lineRule="auto"/>
        <w:jc w:val="both"/>
        <w:rPr>
          <w:rFonts w:ascii="Arial" w:hAnsi="Arial" w:cs="Arial"/>
          <w:sz w:val="24"/>
          <w:szCs w:val="24"/>
        </w:rPr>
      </w:pPr>
      <w:r w:rsidRPr="00C17EC4">
        <w:rPr>
          <w:rFonts w:ascii="Arial" w:hAnsi="Arial" w:cs="Arial"/>
          <w:sz w:val="24"/>
          <w:szCs w:val="24"/>
        </w:rPr>
        <w:t xml:space="preserve">(Brooks, Milligan and White 2017; </w:t>
      </w:r>
      <w:r w:rsidR="00A4348D">
        <w:rPr>
          <w:rFonts w:ascii="Arial" w:hAnsi="Arial" w:cs="Arial"/>
          <w:sz w:val="24"/>
          <w:szCs w:val="24"/>
        </w:rPr>
        <w:t xml:space="preserve">Brooks and Thew 2020, </w:t>
      </w:r>
      <w:r w:rsidRPr="00C17EC4">
        <w:rPr>
          <w:rFonts w:ascii="Arial" w:hAnsi="Arial" w:cs="Arial"/>
          <w:sz w:val="24"/>
          <w:szCs w:val="24"/>
        </w:rPr>
        <w:t>Dahl-Popolizio et al 2017</w:t>
      </w:r>
      <w:r w:rsidR="00A54D71" w:rsidRPr="00C17EC4">
        <w:rPr>
          <w:rFonts w:ascii="Arial" w:hAnsi="Arial" w:cs="Arial"/>
          <w:sz w:val="24"/>
          <w:szCs w:val="24"/>
        </w:rPr>
        <w:t xml:space="preserve">, Locas et al 2019; </w:t>
      </w:r>
      <w:r w:rsidR="008374A6">
        <w:rPr>
          <w:rFonts w:ascii="Arial" w:hAnsi="Arial" w:cs="Arial"/>
          <w:sz w:val="24"/>
          <w:szCs w:val="24"/>
        </w:rPr>
        <w:t xml:space="preserve">Orman 2018, </w:t>
      </w:r>
      <w:r w:rsidR="00475E04">
        <w:rPr>
          <w:rFonts w:ascii="Arial" w:hAnsi="Arial" w:cs="Arial"/>
          <w:sz w:val="24"/>
          <w:szCs w:val="24"/>
        </w:rPr>
        <w:t>McCabe and Greer and</w:t>
      </w:r>
      <w:r w:rsidR="009E4D4D">
        <w:rPr>
          <w:rFonts w:ascii="Arial" w:hAnsi="Arial" w:cs="Arial"/>
          <w:sz w:val="24"/>
          <w:szCs w:val="24"/>
        </w:rPr>
        <w:t xml:space="preserve"> NHS Scotland</w:t>
      </w:r>
      <w:r w:rsidR="00475E04">
        <w:rPr>
          <w:rFonts w:ascii="Arial" w:hAnsi="Arial" w:cs="Arial"/>
          <w:sz w:val="24"/>
          <w:szCs w:val="24"/>
        </w:rPr>
        <w:t xml:space="preserve"> 2020,</w:t>
      </w:r>
      <w:r w:rsidR="009E4D4D">
        <w:rPr>
          <w:rFonts w:ascii="Arial" w:hAnsi="Arial" w:cs="Arial"/>
          <w:sz w:val="24"/>
          <w:szCs w:val="24"/>
        </w:rPr>
        <w:t xml:space="preserve"> and </w:t>
      </w:r>
      <w:r w:rsidR="00791696">
        <w:rPr>
          <w:rFonts w:ascii="Arial" w:hAnsi="Arial" w:cs="Arial"/>
          <w:sz w:val="24"/>
          <w:szCs w:val="24"/>
        </w:rPr>
        <w:t xml:space="preserve">Phillips and </w:t>
      </w:r>
      <w:r w:rsidR="009E4D4D">
        <w:rPr>
          <w:rFonts w:ascii="Arial" w:hAnsi="Arial" w:cs="Arial"/>
          <w:sz w:val="24"/>
          <w:szCs w:val="24"/>
        </w:rPr>
        <w:t xml:space="preserve">NHS </w:t>
      </w:r>
      <w:r w:rsidR="008374A6">
        <w:rPr>
          <w:rFonts w:ascii="Arial" w:hAnsi="Arial" w:cs="Arial"/>
          <w:sz w:val="24"/>
          <w:szCs w:val="24"/>
        </w:rPr>
        <w:t xml:space="preserve">and Public Health </w:t>
      </w:r>
      <w:r w:rsidR="009E4D4D">
        <w:rPr>
          <w:rFonts w:ascii="Arial" w:hAnsi="Arial" w:cs="Arial"/>
          <w:sz w:val="24"/>
          <w:szCs w:val="24"/>
        </w:rPr>
        <w:t>Wales</w:t>
      </w:r>
      <w:r w:rsidR="00791696">
        <w:rPr>
          <w:rFonts w:ascii="Arial" w:hAnsi="Arial" w:cs="Arial"/>
          <w:sz w:val="24"/>
          <w:szCs w:val="24"/>
        </w:rPr>
        <w:t xml:space="preserve"> 2020</w:t>
      </w:r>
      <w:r w:rsidRPr="009E4D4D">
        <w:rPr>
          <w:rFonts w:ascii="Arial" w:hAnsi="Arial" w:cs="Arial"/>
          <w:sz w:val="24"/>
          <w:szCs w:val="24"/>
        </w:rPr>
        <w:t>)</w:t>
      </w:r>
    </w:p>
    <w:p w:rsidR="00FC7D6D" w:rsidRDefault="00FC7D6D" w:rsidP="00FC7D6D">
      <w:pPr>
        <w:spacing w:after="0" w:line="240" w:lineRule="auto"/>
        <w:jc w:val="both"/>
        <w:rPr>
          <w:rFonts w:ascii="Arial" w:hAnsi="Arial" w:cs="Arial"/>
          <w:sz w:val="24"/>
          <w:szCs w:val="24"/>
        </w:rPr>
      </w:pPr>
    </w:p>
    <w:p w:rsidR="000B4D6F" w:rsidRDefault="00B350B4" w:rsidP="00FC7D6D">
      <w:pPr>
        <w:spacing w:after="0" w:line="240" w:lineRule="auto"/>
        <w:jc w:val="both"/>
        <w:rPr>
          <w:rFonts w:ascii="Arial" w:hAnsi="Arial" w:cs="Arial"/>
          <w:b/>
          <w:bCs/>
          <w:sz w:val="24"/>
          <w:szCs w:val="24"/>
        </w:rPr>
      </w:pPr>
      <w:r>
        <w:rPr>
          <w:rFonts w:ascii="Arial" w:hAnsi="Arial" w:cs="Arial"/>
          <w:b/>
          <w:bCs/>
          <w:sz w:val="24"/>
          <w:szCs w:val="24"/>
        </w:rPr>
        <w:t xml:space="preserve">Mental Health OT </w:t>
      </w:r>
      <w:r w:rsidR="009429BC">
        <w:rPr>
          <w:rFonts w:ascii="Arial" w:hAnsi="Arial" w:cs="Arial"/>
          <w:b/>
          <w:bCs/>
          <w:sz w:val="24"/>
          <w:szCs w:val="24"/>
        </w:rPr>
        <w:t>R</w:t>
      </w:r>
      <w:r>
        <w:rPr>
          <w:rFonts w:ascii="Arial" w:hAnsi="Arial" w:cs="Arial"/>
          <w:b/>
          <w:bCs/>
          <w:sz w:val="24"/>
          <w:szCs w:val="24"/>
        </w:rPr>
        <w:t>oles and WACA</w:t>
      </w:r>
      <w:r w:rsidR="000B4D6F" w:rsidRPr="00B350B4">
        <w:rPr>
          <w:rFonts w:ascii="Arial" w:hAnsi="Arial" w:cs="Arial"/>
          <w:b/>
          <w:bCs/>
          <w:sz w:val="24"/>
          <w:szCs w:val="24"/>
        </w:rPr>
        <w:t xml:space="preserve">: </w:t>
      </w:r>
      <w:r>
        <w:rPr>
          <w:rFonts w:ascii="Arial" w:hAnsi="Arial" w:cs="Arial"/>
          <w:b/>
          <w:bCs/>
          <w:sz w:val="24"/>
          <w:szCs w:val="24"/>
        </w:rPr>
        <w:t>considerations for implementation</w:t>
      </w:r>
    </w:p>
    <w:p w:rsidR="00346D14" w:rsidRDefault="00346D14" w:rsidP="00FC7D6D">
      <w:pPr>
        <w:spacing w:after="0" w:line="240" w:lineRule="auto"/>
        <w:jc w:val="both"/>
        <w:rPr>
          <w:rFonts w:ascii="Arial" w:hAnsi="Arial" w:cs="Arial"/>
          <w:sz w:val="24"/>
          <w:szCs w:val="24"/>
        </w:rPr>
      </w:pPr>
    </w:p>
    <w:p w:rsidR="006A6525" w:rsidRDefault="00346D14" w:rsidP="00FC7D6D">
      <w:pPr>
        <w:spacing w:after="0" w:line="240" w:lineRule="auto"/>
        <w:jc w:val="both"/>
        <w:rPr>
          <w:rFonts w:ascii="Arial" w:hAnsi="Arial" w:cs="Arial"/>
          <w:sz w:val="24"/>
          <w:szCs w:val="24"/>
        </w:rPr>
      </w:pPr>
      <w:r>
        <w:rPr>
          <w:rFonts w:ascii="Arial" w:hAnsi="Arial" w:cs="Arial"/>
          <w:sz w:val="24"/>
          <w:szCs w:val="24"/>
        </w:rPr>
        <w:t xml:space="preserve">When considering how these roles can work there are many questions to consider in order </w:t>
      </w:r>
      <w:r w:rsidR="00121965">
        <w:rPr>
          <w:rFonts w:ascii="Arial" w:hAnsi="Arial" w:cs="Arial"/>
          <w:sz w:val="24"/>
          <w:szCs w:val="24"/>
        </w:rPr>
        <w:t>to develop a successful model of delivery. These include where roles will be based</w:t>
      </w:r>
      <w:r w:rsidR="006A6525">
        <w:rPr>
          <w:rFonts w:ascii="Arial" w:hAnsi="Arial" w:cs="Arial"/>
          <w:sz w:val="24"/>
          <w:szCs w:val="24"/>
        </w:rPr>
        <w:t>,</w:t>
      </w:r>
      <w:r w:rsidR="00121965">
        <w:rPr>
          <w:rFonts w:ascii="Arial" w:hAnsi="Arial" w:cs="Arial"/>
          <w:sz w:val="24"/>
          <w:szCs w:val="24"/>
        </w:rPr>
        <w:t xml:space="preserve"> how they will work and what workforce skill mix options are there to gain the most benefit, what governance arrangements, supervision and training needs will there be to ensure practitioners have the right skills to deliver quality care, and what agreements are needed around staffing and employment</w:t>
      </w:r>
      <w:r w:rsidR="006A6525">
        <w:rPr>
          <w:rFonts w:ascii="Arial" w:hAnsi="Arial" w:cs="Arial"/>
          <w:sz w:val="24"/>
          <w:szCs w:val="24"/>
        </w:rPr>
        <w:t xml:space="preserve"> for the service to work effectively and safely for WACA and for the clinicians involved. </w:t>
      </w:r>
    </w:p>
    <w:p w:rsidR="006A6525" w:rsidRDefault="006A6525" w:rsidP="00FC7D6D">
      <w:pPr>
        <w:spacing w:after="0" w:line="240" w:lineRule="auto"/>
        <w:jc w:val="both"/>
        <w:rPr>
          <w:rFonts w:ascii="Arial" w:hAnsi="Arial" w:cs="Arial"/>
          <w:sz w:val="24"/>
          <w:szCs w:val="24"/>
        </w:rPr>
      </w:pPr>
    </w:p>
    <w:p w:rsidR="006A6525" w:rsidRPr="007D699B" w:rsidRDefault="006A6525" w:rsidP="00FC7D6D">
      <w:pPr>
        <w:spacing w:after="0" w:line="240" w:lineRule="auto"/>
        <w:jc w:val="both"/>
        <w:rPr>
          <w:rFonts w:ascii="Arial" w:hAnsi="Arial" w:cs="Arial"/>
          <w:sz w:val="24"/>
          <w:szCs w:val="24"/>
          <w:u w:val="single"/>
        </w:rPr>
      </w:pPr>
      <w:r w:rsidRPr="007D699B">
        <w:rPr>
          <w:rFonts w:ascii="Arial" w:hAnsi="Arial" w:cs="Arial"/>
          <w:sz w:val="24"/>
          <w:szCs w:val="24"/>
          <w:u w:val="single"/>
        </w:rPr>
        <w:t>Where and how</w:t>
      </w:r>
      <w:r w:rsidR="007D699B">
        <w:rPr>
          <w:rFonts w:ascii="Arial" w:hAnsi="Arial" w:cs="Arial"/>
          <w:sz w:val="24"/>
          <w:szCs w:val="24"/>
          <w:u w:val="single"/>
        </w:rPr>
        <w:t xml:space="preserve"> will OTs work</w:t>
      </w:r>
      <w:r w:rsidRPr="007D699B">
        <w:rPr>
          <w:rFonts w:ascii="Arial" w:hAnsi="Arial" w:cs="Arial"/>
          <w:sz w:val="24"/>
          <w:szCs w:val="24"/>
          <w:u w:val="single"/>
        </w:rPr>
        <w:t>?</w:t>
      </w:r>
    </w:p>
    <w:p w:rsidR="00497FAB" w:rsidRDefault="00497FAB" w:rsidP="00FC7D6D">
      <w:pPr>
        <w:spacing w:after="0" w:line="240" w:lineRule="auto"/>
        <w:jc w:val="both"/>
        <w:rPr>
          <w:rFonts w:ascii="Arial" w:hAnsi="Arial" w:cs="Arial"/>
          <w:sz w:val="24"/>
          <w:szCs w:val="24"/>
        </w:rPr>
      </w:pPr>
    </w:p>
    <w:p w:rsidR="006A6525" w:rsidRDefault="006A6525" w:rsidP="00FC7D6D">
      <w:pPr>
        <w:spacing w:after="0" w:line="240" w:lineRule="auto"/>
        <w:jc w:val="both"/>
        <w:rPr>
          <w:rFonts w:ascii="Arial" w:hAnsi="Arial" w:cs="Arial"/>
          <w:sz w:val="24"/>
          <w:szCs w:val="24"/>
        </w:rPr>
      </w:pPr>
      <w:r>
        <w:rPr>
          <w:rFonts w:ascii="Arial" w:hAnsi="Arial" w:cs="Arial"/>
          <w:sz w:val="24"/>
          <w:szCs w:val="24"/>
        </w:rPr>
        <w:t>WACA covers eight independent GP practices</w:t>
      </w:r>
      <w:r w:rsidR="007B000D">
        <w:rPr>
          <w:rFonts w:ascii="Arial" w:hAnsi="Arial" w:cs="Arial"/>
          <w:sz w:val="24"/>
          <w:szCs w:val="24"/>
        </w:rPr>
        <w:t xml:space="preserve"> in Addingham, Skipton, Ilkley, Keighley and Settle, with a broad geographical spread</w:t>
      </w:r>
      <w:r w:rsidR="00497FAB">
        <w:rPr>
          <w:rFonts w:ascii="Arial" w:hAnsi="Arial" w:cs="Arial"/>
          <w:sz w:val="24"/>
          <w:szCs w:val="24"/>
        </w:rPr>
        <w:t>. T</w:t>
      </w:r>
      <w:r w:rsidR="007B000D">
        <w:rPr>
          <w:rFonts w:ascii="Arial" w:hAnsi="Arial" w:cs="Arial"/>
          <w:sz w:val="24"/>
          <w:szCs w:val="24"/>
        </w:rPr>
        <w:t>here will need to be consideration about where roles will be based across the locality</w:t>
      </w:r>
      <w:r w:rsidR="00497FAB">
        <w:rPr>
          <w:rFonts w:ascii="Arial" w:hAnsi="Arial" w:cs="Arial"/>
          <w:sz w:val="24"/>
          <w:szCs w:val="24"/>
        </w:rPr>
        <w:t>,</w:t>
      </w:r>
      <w:r w:rsidR="007B000D">
        <w:rPr>
          <w:rFonts w:ascii="Arial" w:hAnsi="Arial" w:cs="Arial"/>
          <w:sz w:val="24"/>
          <w:szCs w:val="24"/>
        </w:rPr>
        <w:t xml:space="preserve"> and whether OT practitioners work independently of each other</w:t>
      </w:r>
      <w:r w:rsidR="00497FAB">
        <w:rPr>
          <w:rFonts w:ascii="Arial" w:hAnsi="Arial" w:cs="Arial"/>
          <w:sz w:val="24"/>
          <w:szCs w:val="24"/>
        </w:rPr>
        <w:t>,</w:t>
      </w:r>
      <w:r w:rsidR="007B000D">
        <w:rPr>
          <w:rFonts w:ascii="Arial" w:hAnsi="Arial" w:cs="Arial"/>
          <w:sz w:val="24"/>
          <w:szCs w:val="24"/>
        </w:rPr>
        <w:t xml:space="preserve"> integrated within and taking referrals from individual practices, or are based together, as a</w:t>
      </w:r>
      <w:r w:rsidR="00497FAB">
        <w:rPr>
          <w:rFonts w:ascii="Arial" w:hAnsi="Arial" w:cs="Arial"/>
          <w:sz w:val="24"/>
          <w:szCs w:val="24"/>
        </w:rPr>
        <w:t>n |OT</w:t>
      </w:r>
      <w:r w:rsidR="007B000D">
        <w:rPr>
          <w:rFonts w:ascii="Arial" w:hAnsi="Arial" w:cs="Arial"/>
          <w:sz w:val="24"/>
          <w:szCs w:val="24"/>
        </w:rPr>
        <w:t xml:space="preserve"> hub team, with the flexibility to work across practices according to need</w:t>
      </w:r>
      <w:r w:rsidR="00497FAB">
        <w:rPr>
          <w:rFonts w:ascii="Arial" w:hAnsi="Arial" w:cs="Arial"/>
          <w:sz w:val="24"/>
          <w:szCs w:val="24"/>
        </w:rPr>
        <w:t>,</w:t>
      </w:r>
      <w:r w:rsidR="007B000D">
        <w:rPr>
          <w:rFonts w:ascii="Arial" w:hAnsi="Arial" w:cs="Arial"/>
          <w:sz w:val="24"/>
          <w:szCs w:val="24"/>
        </w:rPr>
        <w:t xml:space="preserve"> and with </w:t>
      </w:r>
      <w:r w:rsidR="00497FAB">
        <w:rPr>
          <w:rFonts w:ascii="Arial" w:hAnsi="Arial" w:cs="Arial"/>
          <w:sz w:val="24"/>
          <w:szCs w:val="24"/>
        </w:rPr>
        <w:t>OTs</w:t>
      </w:r>
      <w:r w:rsidR="007B000D">
        <w:rPr>
          <w:rFonts w:ascii="Arial" w:hAnsi="Arial" w:cs="Arial"/>
          <w:sz w:val="24"/>
          <w:szCs w:val="24"/>
        </w:rPr>
        <w:t xml:space="preserve"> aligned to practices but taking referrals collectively and allocating </w:t>
      </w:r>
      <w:r w:rsidR="00497FAB">
        <w:rPr>
          <w:rFonts w:ascii="Arial" w:hAnsi="Arial" w:cs="Arial"/>
          <w:sz w:val="24"/>
          <w:szCs w:val="24"/>
        </w:rPr>
        <w:t xml:space="preserve">to match patient needs with practitioner skills. </w:t>
      </w:r>
    </w:p>
    <w:p w:rsidR="00497FAB" w:rsidRDefault="00497FAB" w:rsidP="00FC7D6D">
      <w:pPr>
        <w:spacing w:after="0" w:line="240" w:lineRule="auto"/>
        <w:jc w:val="both"/>
        <w:rPr>
          <w:rFonts w:ascii="Arial" w:hAnsi="Arial" w:cs="Arial"/>
          <w:sz w:val="24"/>
          <w:szCs w:val="24"/>
        </w:rPr>
      </w:pPr>
    </w:p>
    <w:p w:rsidR="00DA1A64" w:rsidRDefault="00731495" w:rsidP="00FC7D6D">
      <w:pPr>
        <w:spacing w:after="0" w:line="240" w:lineRule="auto"/>
        <w:jc w:val="both"/>
        <w:rPr>
          <w:rFonts w:ascii="Arial" w:hAnsi="Arial" w:cs="Arial"/>
          <w:sz w:val="24"/>
          <w:szCs w:val="24"/>
        </w:rPr>
      </w:pPr>
      <w:r>
        <w:rPr>
          <w:rFonts w:ascii="Arial" w:hAnsi="Arial" w:cs="Arial"/>
          <w:sz w:val="24"/>
          <w:szCs w:val="24"/>
        </w:rPr>
        <w:t xml:space="preserve">How OTs will work will </w:t>
      </w:r>
      <w:r w:rsidR="00497FAB">
        <w:rPr>
          <w:rFonts w:ascii="Arial" w:hAnsi="Arial" w:cs="Arial"/>
          <w:sz w:val="24"/>
          <w:szCs w:val="24"/>
        </w:rPr>
        <w:t>need consideration to ensure that WACA gain the most from the provision</w:t>
      </w:r>
      <w:r>
        <w:rPr>
          <w:rFonts w:ascii="Arial" w:hAnsi="Arial" w:cs="Arial"/>
          <w:sz w:val="24"/>
          <w:szCs w:val="24"/>
        </w:rPr>
        <w:t xml:space="preserve">. The focus of work could be to address: </w:t>
      </w:r>
      <w:r w:rsidRPr="00731495">
        <w:rPr>
          <w:rFonts w:ascii="Arial" w:hAnsi="Arial" w:cs="Arial"/>
          <w:i/>
          <w:iCs/>
          <w:sz w:val="24"/>
          <w:szCs w:val="24"/>
        </w:rPr>
        <w:t>universal needs</w:t>
      </w:r>
      <w:r>
        <w:rPr>
          <w:rFonts w:ascii="Arial" w:hAnsi="Arial" w:cs="Arial"/>
          <w:sz w:val="24"/>
          <w:szCs w:val="24"/>
        </w:rPr>
        <w:t xml:space="preserve"> by providing OT advice on self-management that is readily available and accessible to the whole patient population, </w:t>
      </w:r>
      <w:r>
        <w:rPr>
          <w:rFonts w:ascii="Arial" w:hAnsi="Arial" w:cs="Arial"/>
          <w:i/>
          <w:iCs/>
          <w:sz w:val="24"/>
          <w:szCs w:val="24"/>
        </w:rPr>
        <w:t>targeted needs</w:t>
      </w:r>
      <w:r>
        <w:rPr>
          <w:rFonts w:ascii="Arial" w:hAnsi="Arial" w:cs="Arial"/>
          <w:sz w:val="24"/>
          <w:szCs w:val="24"/>
        </w:rPr>
        <w:t xml:space="preserve"> with brief intervention for those who can self-manage but need some extra time to support daily living skills and underlying problems, or </w:t>
      </w:r>
      <w:r>
        <w:rPr>
          <w:rFonts w:ascii="Arial" w:hAnsi="Arial" w:cs="Arial"/>
          <w:i/>
          <w:iCs/>
          <w:sz w:val="24"/>
          <w:szCs w:val="24"/>
        </w:rPr>
        <w:t>specialist needs</w:t>
      </w:r>
      <w:r>
        <w:rPr>
          <w:rFonts w:ascii="Arial" w:hAnsi="Arial" w:cs="Arial"/>
          <w:sz w:val="24"/>
          <w:szCs w:val="24"/>
        </w:rPr>
        <w:t xml:space="preserve"> for people who have the most complex needs, requiring a range of support and partnership working with other professionals and linking into specialist care pathways.</w:t>
      </w:r>
      <w:r w:rsidR="004B751A">
        <w:rPr>
          <w:rFonts w:ascii="Arial" w:hAnsi="Arial" w:cs="Arial"/>
          <w:sz w:val="24"/>
          <w:szCs w:val="24"/>
        </w:rPr>
        <w:t xml:space="preserve"> </w:t>
      </w:r>
    </w:p>
    <w:p w:rsidR="00DA1A64" w:rsidRDefault="00DA1A64" w:rsidP="00FC7D6D">
      <w:pPr>
        <w:spacing w:after="0" w:line="240" w:lineRule="auto"/>
        <w:jc w:val="both"/>
        <w:rPr>
          <w:rFonts w:ascii="Arial" w:hAnsi="Arial" w:cs="Arial"/>
          <w:sz w:val="24"/>
          <w:szCs w:val="24"/>
        </w:rPr>
      </w:pPr>
    </w:p>
    <w:p w:rsidR="00DA1A64" w:rsidRDefault="00DA1A64" w:rsidP="00FC7D6D">
      <w:pPr>
        <w:spacing w:after="0" w:line="240" w:lineRule="auto"/>
        <w:jc w:val="both"/>
        <w:rPr>
          <w:rFonts w:ascii="Arial" w:hAnsi="Arial" w:cs="Arial"/>
          <w:sz w:val="24"/>
          <w:szCs w:val="24"/>
        </w:rPr>
      </w:pPr>
      <w:r>
        <w:rPr>
          <w:rFonts w:ascii="Arial" w:hAnsi="Arial" w:cs="Arial"/>
          <w:sz w:val="24"/>
          <w:szCs w:val="24"/>
        </w:rPr>
        <w:t>Occupational therapy pathways will need to be agreed which define appropriate patients who can be seen and how these will link with more specialist community and secondary care pathways when more on-going and</w:t>
      </w:r>
    </w:p>
    <w:p w:rsidR="00DA1A64" w:rsidRDefault="00DA1A64" w:rsidP="00FC7D6D">
      <w:pPr>
        <w:spacing w:after="0" w:line="240" w:lineRule="auto"/>
        <w:jc w:val="both"/>
        <w:rPr>
          <w:rFonts w:ascii="Arial" w:hAnsi="Arial" w:cs="Arial"/>
          <w:sz w:val="24"/>
          <w:szCs w:val="24"/>
        </w:rPr>
      </w:pPr>
    </w:p>
    <w:p w:rsidR="00DA1A64" w:rsidRDefault="004B751A" w:rsidP="00FC7D6D">
      <w:pPr>
        <w:spacing w:after="0" w:line="240" w:lineRule="auto"/>
        <w:jc w:val="both"/>
        <w:rPr>
          <w:rFonts w:ascii="Arial" w:hAnsi="Arial" w:cs="Arial"/>
          <w:sz w:val="24"/>
          <w:szCs w:val="24"/>
        </w:rPr>
      </w:pPr>
      <w:r>
        <w:rPr>
          <w:rFonts w:ascii="Arial" w:hAnsi="Arial" w:cs="Arial"/>
          <w:sz w:val="24"/>
          <w:szCs w:val="24"/>
        </w:rPr>
        <w:t xml:space="preserve">As with other community practitioners, in the context of Covid-19, OTs </w:t>
      </w:r>
      <w:r w:rsidR="009429BC">
        <w:rPr>
          <w:rFonts w:ascii="Arial" w:hAnsi="Arial" w:cs="Arial"/>
          <w:sz w:val="24"/>
          <w:szCs w:val="24"/>
        </w:rPr>
        <w:t xml:space="preserve">are well skilled in delivering care virtually and developing digital health alongside face to face working, to offer choice and accessibility for patients and </w:t>
      </w:r>
      <w:r w:rsidR="00DA1A64">
        <w:rPr>
          <w:rFonts w:ascii="Arial" w:hAnsi="Arial" w:cs="Arial"/>
          <w:sz w:val="24"/>
          <w:szCs w:val="24"/>
        </w:rPr>
        <w:t xml:space="preserve">flexibility for delivery of care. </w:t>
      </w:r>
    </w:p>
    <w:p w:rsidR="00346D14" w:rsidRPr="00346D14" w:rsidRDefault="00346D14" w:rsidP="00FC7D6D">
      <w:pPr>
        <w:spacing w:after="0" w:line="240" w:lineRule="auto"/>
        <w:jc w:val="both"/>
        <w:rPr>
          <w:rFonts w:ascii="Arial" w:hAnsi="Arial" w:cs="Arial"/>
          <w:sz w:val="24"/>
          <w:szCs w:val="24"/>
        </w:rPr>
      </w:pPr>
    </w:p>
    <w:p w:rsidR="00B350B4" w:rsidRPr="007D699B" w:rsidRDefault="00B350B4" w:rsidP="00FC7D6D">
      <w:pPr>
        <w:spacing w:after="0" w:line="240" w:lineRule="auto"/>
        <w:jc w:val="both"/>
        <w:rPr>
          <w:rFonts w:ascii="Arial" w:hAnsi="Arial" w:cs="Arial"/>
          <w:sz w:val="24"/>
          <w:szCs w:val="24"/>
          <w:u w:val="single"/>
        </w:rPr>
      </w:pPr>
      <w:r w:rsidRPr="007D699B">
        <w:rPr>
          <w:rFonts w:ascii="Arial" w:hAnsi="Arial" w:cs="Arial"/>
          <w:sz w:val="24"/>
          <w:szCs w:val="24"/>
          <w:u w:val="single"/>
        </w:rPr>
        <w:t>W</w:t>
      </w:r>
      <w:r w:rsidR="00DA1A64" w:rsidRPr="007D699B">
        <w:rPr>
          <w:rFonts w:ascii="Arial" w:hAnsi="Arial" w:cs="Arial"/>
          <w:sz w:val="24"/>
          <w:szCs w:val="24"/>
          <w:u w:val="single"/>
        </w:rPr>
        <w:t>hat w</w:t>
      </w:r>
      <w:r w:rsidRPr="007D699B">
        <w:rPr>
          <w:rFonts w:ascii="Arial" w:hAnsi="Arial" w:cs="Arial"/>
          <w:sz w:val="24"/>
          <w:szCs w:val="24"/>
          <w:u w:val="single"/>
        </w:rPr>
        <w:t xml:space="preserve">orkforce </w:t>
      </w:r>
      <w:r w:rsidR="00DA1A64" w:rsidRPr="007D699B">
        <w:rPr>
          <w:rFonts w:ascii="Arial" w:hAnsi="Arial" w:cs="Arial"/>
          <w:sz w:val="24"/>
          <w:szCs w:val="24"/>
          <w:u w:val="single"/>
        </w:rPr>
        <w:t>s</w:t>
      </w:r>
      <w:r w:rsidRPr="007D699B">
        <w:rPr>
          <w:rFonts w:ascii="Arial" w:hAnsi="Arial" w:cs="Arial"/>
          <w:sz w:val="24"/>
          <w:szCs w:val="24"/>
          <w:u w:val="single"/>
        </w:rPr>
        <w:t xml:space="preserve">kill </w:t>
      </w:r>
      <w:r w:rsidR="00DA1A64" w:rsidRPr="007D699B">
        <w:rPr>
          <w:rFonts w:ascii="Arial" w:hAnsi="Arial" w:cs="Arial"/>
          <w:sz w:val="24"/>
          <w:szCs w:val="24"/>
          <w:u w:val="single"/>
        </w:rPr>
        <w:t>m</w:t>
      </w:r>
      <w:r w:rsidRPr="007D699B">
        <w:rPr>
          <w:rFonts w:ascii="Arial" w:hAnsi="Arial" w:cs="Arial"/>
          <w:sz w:val="24"/>
          <w:szCs w:val="24"/>
          <w:u w:val="single"/>
        </w:rPr>
        <w:t>ix</w:t>
      </w:r>
      <w:r w:rsidR="007D699B" w:rsidRPr="007D699B">
        <w:rPr>
          <w:rFonts w:ascii="Arial" w:hAnsi="Arial" w:cs="Arial"/>
          <w:sz w:val="24"/>
          <w:szCs w:val="24"/>
          <w:u w:val="single"/>
        </w:rPr>
        <w:t xml:space="preserve"> will best meet WACA’s needs</w:t>
      </w:r>
      <w:r w:rsidR="00DA1A64" w:rsidRPr="007D699B">
        <w:rPr>
          <w:rFonts w:ascii="Arial" w:hAnsi="Arial" w:cs="Arial"/>
          <w:sz w:val="24"/>
          <w:szCs w:val="24"/>
          <w:u w:val="single"/>
        </w:rPr>
        <w:t>?</w:t>
      </w:r>
    </w:p>
    <w:p w:rsidR="00DA1A64" w:rsidRDefault="00DA1A64" w:rsidP="00FC7D6D">
      <w:pPr>
        <w:spacing w:after="0" w:line="240" w:lineRule="auto"/>
        <w:jc w:val="both"/>
        <w:rPr>
          <w:rFonts w:ascii="Arial" w:hAnsi="Arial" w:cs="Arial"/>
          <w:sz w:val="24"/>
          <w:szCs w:val="24"/>
        </w:rPr>
      </w:pPr>
    </w:p>
    <w:p w:rsidR="00DA1A64" w:rsidRDefault="00DA1A64" w:rsidP="00FC7D6D">
      <w:pPr>
        <w:spacing w:after="0" w:line="240" w:lineRule="auto"/>
        <w:jc w:val="both"/>
        <w:rPr>
          <w:rFonts w:ascii="Arial" w:hAnsi="Arial" w:cs="Arial"/>
          <w:sz w:val="24"/>
          <w:szCs w:val="24"/>
        </w:rPr>
      </w:pPr>
      <w:r>
        <w:rPr>
          <w:rFonts w:ascii="Arial" w:hAnsi="Arial" w:cs="Arial"/>
          <w:sz w:val="24"/>
          <w:szCs w:val="24"/>
        </w:rPr>
        <w:t xml:space="preserve">It is recommended by the Royal College of Occupational Therapy </w:t>
      </w:r>
      <w:r w:rsidR="008D225A">
        <w:rPr>
          <w:rFonts w:ascii="Arial" w:hAnsi="Arial" w:cs="Arial"/>
          <w:sz w:val="24"/>
          <w:szCs w:val="24"/>
        </w:rPr>
        <w:t xml:space="preserve">(2018) </w:t>
      </w:r>
      <w:r>
        <w:rPr>
          <w:rFonts w:ascii="Arial" w:hAnsi="Arial" w:cs="Arial"/>
          <w:sz w:val="24"/>
          <w:szCs w:val="24"/>
        </w:rPr>
        <w:t xml:space="preserve">that if lone working within and across practices </w:t>
      </w:r>
      <w:r w:rsidR="00BC2722">
        <w:rPr>
          <w:rFonts w:ascii="Arial" w:hAnsi="Arial" w:cs="Arial"/>
          <w:sz w:val="24"/>
          <w:szCs w:val="24"/>
        </w:rPr>
        <w:t>primary care OTs would be expected to work at Band 7 Agenda for Change, with the specialist skills to be able to develop and deliver care effectively. Practitioners in lower bands can be considered if they are working within a multi-disciplinary team and have appropriate governance and support. As these roles will be new for WACA it will be essential to have OTs at the right band with the specialist skills and knowledge needed to develop this service. The proposed funding for development of these posts is £210,000</w:t>
      </w:r>
      <w:r w:rsidR="00060F69">
        <w:rPr>
          <w:rFonts w:ascii="Arial" w:hAnsi="Arial" w:cs="Arial"/>
          <w:sz w:val="24"/>
          <w:szCs w:val="24"/>
        </w:rPr>
        <w:t>pa</w:t>
      </w:r>
      <w:r w:rsidR="00BC2722">
        <w:rPr>
          <w:rFonts w:ascii="Arial" w:hAnsi="Arial" w:cs="Arial"/>
          <w:sz w:val="24"/>
          <w:szCs w:val="24"/>
        </w:rPr>
        <w:t xml:space="preserve"> and there are different skill mix options WACA may wish to consider. </w:t>
      </w:r>
    </w:p>
    <w:p w:rsidR="00BC2722" w:rsidRDefault="00BC2722" w:rsidP="00FC7D6D">
      <w:pPr>
        <w:spacing w:after="0" w:line="240" w:lineRule="auto"/>
        <w:jc w:val="both"/>
        <w:rPr>
          <w:rFonts w:ascii="Arial" w:hAnsi="Arial" w:cs="Arial"/>
          <w:sz w:val="24"/>
          <w:szCs w:val="24"/>
        </w:rPr>
      </w:pPr>
    </w:p>
    <w:p w:rsidR="00BC2722" w:rsidRPr="007D699B" w:rsidRDefault="00BC2722" w:rsidP="00FC7D6D">
      <w:pPr>
        <w:spacing w:after="0" w:line="240" w:lineRule="auto"/>
        <w:jc w:val="both"/>
        <w:rPr>
          <w:rFonts w:ascii="Arial" w:hAnsi="Arial" w:cs="Arial"/>
          <w:i/>
          <w:iCs/>
          <w:sz w:val="24"/>
          <w:szCs w:val="24"/>
        </w:rPr>
      </w:pPr>
      <w:r w:rsidRPr="007D699B">
        <w:rPr>
          <w:rFonts w:ascii="Arial" w:hAnsi="Arial" w:cs="Arial"/>
          <w:i/>
          <w:iCs/>
          <w:sz w:val="24"/>
          <w:szCs w:val="24"/>
        </w:rPr>
        <w:t>Option 1</w:t>
      </w:r>
    </w:p>
    <w:p w:rsidR="00060F69" w:rsidRDefault="00060F69" w:rsidP="00FC7D6D">
      <w:pPr>
        <w:spacing w:after="0" w:line="240" w:lineRule="auto"/>
        <w:jc w:val="both"/>
        <w:rPr>
          <w:rFonts w:ascii="Arial" w:hAnsi="Arial" w:cs="Arial"/>
          <w:sz w:val="24"/>
          <w:szCs w:val="24"/>
        </w:rPr>
      </w:pPr>
      <w:r>
        <w:rPr>
          <w:rFonts w:ascii="Arial" w:hAnsi="Arial" w:cs="Arial"/>
          <w:sz w:val="24"/>
          <w:szCs w:val="24"/>
        </w:rPr>
        <w:t xml:space="preserve">4 x 1.00wte Band 7 OTs </w:t>
      </w:r>
      <w:r w:rsidR="00B23BC0">
        <w:rPr>
          <w:rFonts w:ascii="Arial" w:hAnsi="Arial" w:cs="Arial"/>
          <w:sz w:val="24"/>
          <w:szCs w:val="24"/>
        </w:rPr>
        <w:t>employed to work</w:t>
      </w:r>
      <w:r>
        <w:rPr>
          <w:rFonts w:ascii="Arial" w:hAnsi="Arial" w:cs="Arial"/>
          <w:sz w:val="24"/>
          <w:szCs w:val="24"/>
        </w:rPr>
        <w:t xml:space="preserve"> across the </w:t>
      </w:r>
      <w:r w:rsidR="00B23BC0">
        <w:rPr>
          <w:rFonts w:ascii="Arial" w:hAnsi="Arial" w:cs="Arial"/>
          <w:sz w:val="24"/>
          <w:szCs w:val="24"/>
        </w:rPr>
        <w:t>A</w:t>
      </w:r>
      <w:r>
        <w:rPr>
          <w:rFonts w:ascii="Arial" w:hAnsi="Arial" w:cs="Arial"/>
          <w:sz w:val="24"/>
          <w:szCs w:val="24"/>
        </w:rPr>
        <w:t xml:space="preserve">lliance. </w:t>
      </w:r>
      <w:r w:rsidR="00B23BC0">
        <w:rPr>
          <w:rFonts w:ascii="Arial" w:hAnsi="Arial" w:cs="Arial"/>
          <w:sz w:val="24"/>
          <w:szCs w:val="24"/>
        </w:rPr>
        <w:t>The advantage of this option would be the high skill level to develop a service across the locality and who could work independently across the practices</w:t>
      </w:r>
      <w:r w:rsidR="0084210F">
        <w:rPr>
          <w:rFonts w:ascii="Arial" w:hAnsi="Arial" w:cs="Arial"/>
          <w:sz w:val="24"/>
          <w:szCs w:val="24"/>
        </w:rPr>
        <w:t>, with the specialist knowledge for diverse needs</w:t>
      </w:r>
      <w:r w:rsidR="00B23BC0">
        <w:rPr>
          <w:rFonts w:ascii="Arial" w:hAnsi="Arial" w:cs="Arial"/>
          <w:sz w:val="24"/>
          <w:szCs w:val="24"/>
        </w:rPr>
        <w:t xml:space="preserve">. However, with costings per wte Band 7 at approximately £53,804, this would be a higher cost, with little flexibility for training and development. </w:t>
      </w:r>
    </w:p>
    <w:p w:rsidR="00B23BC0" w:rsidRDefault="00B23BC0" w:rsidP="00FC7D6D">
      <w:pPr>
        <w:spacing w:after="0" w:line="240" w:lineRule="auto"/>
        <w:jc w:val="both"/>
        <w:rPr>
          <w:rFonts w:ascii="Arial" w:hAnsi="Arial" w:cs="Arial"/>
          <w:sz w:val="24"/>
          <w:szCs w:val="24"/>
        </w:rPr>
      </w:pPr>
    </w:p>
    <w:p w:rsidR="00B23BC0" w:rsidRPr="007D699B" w:rsidRDefault="00B23BC0" w:rsidP="00FC7D6D">
      <w:pPr>
        <w:spacing w:after="0" w:line="240" w:lineRule="auto"/>
        <w:jc w:val="both"/>
        <w:rPr>
          <w:rFonts w:ascii="Arial" w:hAnsi="Arial" w:cs="Arial"/>
          <w:i/>
          <w:iCs/>
          <w:sz w:val="24"/>
          <w:szCs w:val="24"/>
        </w:rPr>
      </w:pPr>
      <w:r w:rsidRPr="007D699B">
        <w:rPr>
          <w:rFonts w:ascii="Arial" w:hAnsi="Arial" w:cs="Arial"/>
          <w:i/>
          <w:iCs/>
          <w:sz w:val="24"/>
          <w:szCs w:val="24"/>
        </w:rPr>
        <w:t xml:space="preserve">Option 2 </w:t>
      </w:r>
    </w:p>
    <w:p w:rsidR="00B23BC0" w:rsidRDefault="00B23BC0" w:rsidP="00FC7D6D">
      <w:pPr>
        <w:spacing w:after="0" w:line="240" w:lineRule="auto"/>
        <w:jc w:val="both"/>
        <w:rPr>
          <w:rFonts w:ascii="Arial" w:hAnsi="Arial" w:cs="Arial"/>
          <w:sz w:val="24"/>
          <w:szCs w:val="24"/>
        </w:rPr>
      </w:pPr>
      <w:r>
        <w:rPr>
          <w:rFonts w:ascii="Arial" w:hAnsi="Arial" w:cs="Arial"/>
          <w:sz w:val="24"/>
          <w:szCs w:val="24"/>
        </w:rPr>
        <w:t xml:space="preserve">2 x 1.00wte Band 7, 2 x 1.00wte Band 6 OTs to work as a hub team, with OTs aligned to practices, but working together to pick up referrals and </w:t>
      </w:r>
      <w:r w:rsidR="0084210F">
        <w:rPr>
          <w:rFonts w:ascii="Arial" w:hAnsi="Arial" w:cs="Arial"/>
          <w:sz w:val="24"/>
          <w:szCs w:val="24"/>
        </w:rPr>
        <w:t xml:space="preserve">allocate according to needs and skills. The advantage of this model would be that the skill mix would still enable service development and the specialist skills required for primary care needs, but there would also be the flexibility for allocate referrals more effectively and make the most use out of the skill mix of the team. At a cost of £53, 804 per Band 7 wte and £43,425 per Band 6 wte, with a total cost of approximately £194,458, this model would also offer more opportunity for development </w:t>
      </w:r>
      <w:r w:rsidR="005A077E">
        <w:rPr>
          <w:rFonts w:ascii="Arial" w:hAnsi="Arial" w:cs="Arial"/>
          <w:sz w:val="24"/>
          <w:szCs w:val="24"/>
        </w:rPr>
        <w:t xml:space="preserve">within the team to grow skills and knowledge around primary care needs. </w:t>
      </w:r>
    </w:p>
    <w:p w:rsidR="005A077E" w:rsidRDefault="005A077E" w:rsidP="00FC7D6D">
      <w:pPr>
        <w:spacing w:after="0" w:line="240" w:lineRule="auto"/>
        <w:jc w:val="both"/>
        <w:rPr>
          <w:rFonts w:ascii="Arial" w:hAnsi="Arial" w:cs="Arial"/>
          <w:sz w:val="24"/>
          <w:szCs w:val="24"/>
        </w:rPr>
      </w:pPr>
    </w:p>
    <w:p w:rsidR="005A077E" w:rsidRPr="007D699B" w:rsidRDefault="005A077E" w:rsidP="00FC7D6D">
      <w:pPr>
        <w:spacing w:after="0" w:line="240" w:lineRule="auto"/>
        <w:jc w:val="both"/>
        <w:rPr>
          <w:rFonts w:ascii="Arial" w:hAnsi="Arial" w:cs="Arial"/>
          <w:i/>
          <w:iCs/>
          <w:sz w:val="24"/>
          <w:szCs w:val="24"/>
        </w:rPr>
      </w:pPr>
      <w:r w:rsidRPr="007D699B">
        <w:rPr>
          <w:rFonts w:ascii="Arial" w:hAnsi="Arial" w:cs="Arial"/>
          <w:i/>
          <w:iCs/>
          <w:sz w:val="24"/>
          <w:szCs w:val="24"/>
        </w:rPr>
        <w:t xml:space="preserve">Option 3 </w:t>
      </w:r>
    </w:p>
    <w:p w:rsidR="005A077E" w:rsidRDefault="005A077E" w:rsidP="00FC7D6D">
      <w:pPr>
        <w:spacing w:after="0" w:line="240" w:lineRule="auto"/>
        <w:jc w:val="both"/>
        <w:rPr>
          <w:rFonts w:ascii="Arial" w:hAnsi="Arial" w:cs="Arial"/>
          <w:sz w:val="24"/>
          <w:szCs w:val="24"/>
        </w:rPr>
      </w:pPr>
      <w:r>
        <w:rPr>
          <w:rFonts w:ascii="Arial" w:hAnsi="Arial" w:cs="Arial"/>
          <w:sz w:val="24"/>
          <w:szCs w:val="24"/>
        </w:rPr>
        <w:t>2 x 1.00wte Band 7, 1 x 1.00wte Band 6 and 1 x1.00wte Band 5 to work as a hub team, with OTs aligned to practices, but working together to pick up referrals and allocate according to patient needs and practitioner skills. The advantage of this model would be, as above, to enable service development and having the mix of skills needed</w:t>
      </w:r>
      <w:r w:rsidR="001B4E5F">
        <w:rPr>
          <w:rFonts w:ascii="Arial" w:hAnsi="Arial" w:cs="Arial"/>
          <w:sz w:val="24"/>
          <w:szCs w:val="24"/>
        </w:rPr>
        <w:t xml:space="preserve"> for the different patient needs, but it would also offer more opportunity for development. With costings at £53,804 per Band 7wte, £43,425 per Band 6wte and £35,679 per Band 5wte and a total cost of approximately £186,712 there is more scope to invest in the development of the team and specialist training for primary care. If considering this option WACA may also wish to consider hosting the band 5 post as a rotational post. There is an established integrated OT Post Graduate Development Scheme, run as a partnership between Bradford District Care Foundation Trust and Airedale NHS Foundation Trust, which offers 16 rotations across physical and mental health and all age services in acute and community care. This rotation scheme enables graduate practitioners to develop integrated skills needs for working across NHS services. WACA would benefit from the different skills and knowledge rotational OTs would bring and their </w:t>
      </w:r>
      <w:r w:rsidR="00251DBF">
        <w:rPr>
          <w:rFonts w:ascii="Arial" w:hAnsi="Arial" w:cs="Arial"/>
          <w:sz w:val="24"/>
          <w:szCs w:val="24"/>
        </w:rPr>
        <w:t xml:space="preserve">knowledge of and links into different service pathways. </w:t>
      </w:r>
      <w:r w:rsidR="001B4E5F">
        <w:rPr>
          <w:rFonts w:ascii="Arial" w:hAnsi="Arial" w:cs="Arial"/>
          <w:sz w:val="24"/>
          <w:szCs w:val="24"/>
        </w:rPr>
        <w:t xml:space="preserve"> </w:t>
      </w:r>
    </w:p>
    <w:p w:rsidR="005A077E" w:rsidRDefault="005A077E" w:rsidP="00FC7D6D">
      <w:pPr>
        <w:spacing w:after="0" w:line="240" w:lineRule="auto"/>
        <w:jc w:val="both"/>
        <w:rPr>
          <w:rFonts w:ascii="Arial" w:hAnsi="Arial" w:cs="Arial"/>
          <w:sz w:val="24"/>
          <w:szCs w:val="24"/>
        </w:rPr>
      </w:pPr>
    </w:p>
    <w:p w:rsidR="005A077E" w:rsidRDefault="005A077E" w:rsidP="00FC7D6D">
      <w:pPr>
        <w:spacing w:after="0" w:line="240" w:lineRule="auto"/>
        <w:jc w:val="both"/>
        <w:rPr>
          <w:rFonts w:ascii="Arial" w:hAnsi="Arial" w:cs="Arial"/>
          <w:sz w:val="24"/>
          <w:szCs w:val="24"/>
        </w:rPr>
      </w:pPr>
      <w:r>
        <w:rPr>
          <w:rFonts w:ascii="Arial" w:hAnsi="Arial" w:cs="Arial"/>
          <w:sz w:val="24"/>
          <w:szCs w:val="24"/>
        </w:rPr>
        <w:t>The costings for the above options have been suggested by the finance team at BDCFT to supply OTs for WACA on a service level agreement. These costs include</w:t>
      </w:r>
      <w:r w:rsidR="007D699B">
        <w:rPr>
          <w:rFonts w:ascii="Arial" w:hAnsi="Arial" w:cs="Arial"/>
          <w:sz w:val="24"/>
          <w:szCs w:val="24"/>
        </w:rPr>
        <w:t xml:space="preserve"> governance</w:t>
      </w:r>
      <w:r>
        <w:rPr>
          <w:rFonts w:ascii="Arial" w:hAnsi="Arial" w:cs="Arial"/>
          <w:sz w:val="24"/>
          <w:szCs w:val="24"/>
        </w:rPr>
        <w:t xml:space="preserve"> </w:t>
      </w:r>
      <w:r w:rsidR="007D699B">
        <w:rPr>
          <w:rFonts w:ascii="Arial" w:hAnsi="Arial" w:cs="Arial"/>
          <w:sz w:val="24"/>
          <w:szCs w:val="24"/>
        </w:rPr>
        <w:t xml:space="preserve">arrangements </w:t>
      </w:r>
      <w:r>
        <w:rPr>
          <w:rFonts w:ascii="Arial" w:hAnsi="Arial" w:cs="Arial"/>
          <w:sz w:val="24"/>
          <w:szCs w:val="24"/>
        </w:rPr>
        <w:t xml:space="preserve">for supervision and development. </w:t>
      </w:r>
    </w:p>
    <w:p w:rsidR="00060F69" w:rsidRDefault="00060F69" w:rsidP="00FC7D6D">
      <w:pPr>
        <w:spacing w:after="0" w:line="240" w:lineRule="auto"/>
        <w:jc w:val="both"/>
        <w:rPr>
          <w:rFonts w:ascii="Arial" w:hAnsi="Arial" w:cs="Arial"/>
          <w:sz w:val="24"/>
          <w:szCs w:val="24"/>
        </w:rPr>
      </w:pPr>
    </w:p>
    <w:p w:rsidR="00060F69" w:rsidRDefault="007D699B" w:rsidP="00FC7D6D">
      <w:pPr>
        <w:spacing w:after="0" w:line="240" w:lineRule="auto"/>
        <w:jc w:val="both"/>
        <w:rPr>
          <w:rFonts w:ascii="Arial" w:hAnsi="Arial" w:cs="Arial"/>
          <w:sz w:val="24"/>
          <w:szCs w:val="24"/>
        </w:rPr>
      </w:pPr>
      <w:r>
        <w:rPr>
          <w:rFonts w:ascii="Arial" w:hAnsi="Arial" w:cs="Arial"/>
          <w:sz w:val="24"/>
          <w:szCs w:val="24"/>
        </w:rPr>
        <w:t xml:space="preserve">Job Descriptions and Person Specifications for these roles can be developed. Examples from other Primary Care Networks are included in the appendix. </w:t>
      </w:r>
    </w:p>
    <w:p w:rsidR="00BC2722" w:rsidRDefault="00BC2722" w:rsidP="00FC7D6D">
      <w:pPr>
        <w:spacing w:after="0" w:line="240" w:lineRule="auto"/>
        <w:jc w:val="both"/>
        <w:rPr>
          <w:rFonts w:ascii="Arial" w:hAnsi="Arial" w:cs="Arial"/>
          <w:sz w:val="24"/>
          <w:szCs w:val="24"/>
        </w:rPr>
      </w:pPr>
    </w:p>
    <w:p w:rsidR="00346D14" w:rsidRDefault="007D699B" w:rsidP="00FC7D6D">
      <w:pPr>
        <w:spacing w:after="0" w:line="240" w:lineRule="auto"/>
        <w:jc w:val="both"/>
        <w:rPr>
          <w:rFonts w:ascii="Arial" w:hAnsi="Arial" w:cs="Arial"/>
          <w:sz w:val="24"/>
          <w:szCs w:val="24"/>
          <w:u w:val="single"/>
        </w:rPr>
      </w:pPr>
      <w:r w:rsidRPr="007D699B">
        <w:rPr>
          <w:rFonts w:ascii="Arial" w:hAnsi="Arial" w:cs="Arial"/>
          <w:sz w:val="24"/>
          <w:szCs w:val="24"/>
          <w:u w:val="single"/>
        </w:rPr>
        <w:t>What governance arrangements are needed?</w:t>
      </w:r>
    </w:p>
    <w:p w:rsidR="007D699B" w:rsidRDefault="007D699B" w:rsidP="00FC7D6D">
      <w:pPr>
        <w:spacing w:after="0" w:line="240" w:lineRule="auto"/>
        <w:jc w:val="both"/>
        <w:rPr>
          <w:rFonts w:ascii="Arial" w:hAnsi="Arial" w:cs="Arial"/>
          <w:sz w:val="24"/>
          <w:szCs w:val="24"/>
        </w:rPr>
      </w:pPr>
    </w:p>
    <w:p w:rsidR="007D699B" w:rsidRDefault="003640EC" w:rsidP="00FC7D6D">
      <w:pPr>
        <w:spacing w:after="0" w:line="240" w:lineRule="auto"/>
        <w:jc w:val="both"/>
        <w:rPr>
          <w:rFonts w:ascii="Arial" w:hAnsi="Arial" w:cs="Arial"/>
          <w:sz w:val="24"/>
          <w:szCs w:val="24"/>
        </w:rPr>
      </w:pPr>
      <w:r>
        <w:rPr>
          <w:rFonts w:ascii="Arial" w:hAnsi="Arial" w:cs="Arial"/>
          <w:sz w:val="24"/>
          <w:szCs w:val="24"/>
        </w:rPr>
        <w:t>As a small group of professionals working across WACA’s community practices, albeit working with other primary care practitioners, there is a need to ensure robust governance, supervision and training to support OTs to work safely</w:t>
      </w:r>
      <w:r w:rsidR="00793531">
        <w:rPr>
          <w:rFonts w:ascii="Arial" w:hAnsi="Arial" w:cs="Arial"/>
          <w:sz w:val="24"/>
          <w:szCs w:val="24"/>
        </w:rPr>
        <w:t xml:space="preserve"> and with the right skills for quality care and to prevent risks from professional isolation. Occupational Therapists within Bradford District Care Foundation Trust (BDCFT) are well supported with embedded governance </w:t>
      </w:r>
      <w:r w:rsidR="00CA717F">
        <w:rPr>
          <w:rFonts w:ascii="Arial" w:hAnsi="Arial" w:cs="Arial"/>
          <w:sz w:val="24"/>
          <w:szCs w:val="24"/>
        </w:rPr>
        <w:t xml:space="preserve">and HR </w:t>
      </w:r>
      <w:r w:rsidR="00793531">
        <w:rPr>
          <w:rFonts w:ascii="Arial" w:hAnsi="Arial" w:cs="Arial"/>
          <w:sz w:val="24"/>
          <w:szCs w:val="24"/>
        </w:rPr>
        <w:t xml:space="preserve">arrangements, to ensure maintenance of professional standards, </w:t>
      </w:r>
      <w:r w:rsidR="00CA717F">
        <w:rPr>
          <w:rFonts w:ascii="Arial" w:hAnsi="Arial" w:cs="Arial"/>
          <w:sz w:val="24"/>
          <w:szCs w:val="24"/>
        </w:rPr>
        <w:t xml:space="preserve">professional registration, </w:t>
      </w:r>
      <w:r w:rsidR="00793531">
        <w:rPr>
          <w:rFonts w:ascii="Arial" w:hAnsi="Arial" w:cs="Arial"/>
          <w:sz w:val="24"/>
          <w:szCs w:val="24"/>
        </w:rPr>
        <w:t xml:space="preserve">supervision, training, and clinical effectiveness. By providing OTs for WACA, </w:t>
      </w:r>
      <w:r w:rsidR="00CA717F">
        <w:rPr>
          <w:rFonts w:ascii="Arial" w:hAnsi="Arial" w:cs="Arial"/>
          <w:sz w:val="24"/>
          <w:szCs w:val="24"/>
        </w:rPr>
        <w:t xml:space="preserve">BDCFT can ensure that primary care </w:t>
      </w:r>
      <w:r w:rsidR="003A03E3">
        <w:rPr>
          <w:rFonts w:ascii="Arial" w:hAnsi="Arial" w:cs="Arial"/>
          <w:sz w:val="24"/>
          <w:szCs w:val="24"/>
        </w:rPr>
        <w:t>OTs</w:t>
      </w:r>
      <w:r w:rsidR="00CA717F">
        <w:rPr>
          <w:rFonts w:ascii="Arial" w:hAnsi="Arial" w:cs="Arial"/>
          <w:sz w:val="24"/>
          <w:szCs w:val="24"/>
        </w:rPr>
        <w:t xml:space="preserve"> have access to supervision, training</w:t>
      </w:r>
      <w:r w:rsidR="00205203">
        <w:rPr>
          <w:rFonts w:ascii="Arial" w:hAnsi="Arial" w:cs="Arial"/>
          <w:sz w:val="24"/>
          <w:szCs w:val="24"/>
        </w:rPr>
        <w:t>,</w:t>
      </w:r>
      <w:r w:rsidR="00CA717F">
        <w:rPr>
          <w:rFonts w:ascii="Arial" w:hAnsi="Arial" w:cs="Arial"/>
          <w:sz w:val="24"/>
          <w:szCs w:val="24"/>
        </w:rPr>
        <w:t xml:space="preserve"> and development widely available to other BDCFT OTs and </w:t>
      </w:r>
      <w:r w:rsidR="003A03E3">
        <w:rPr>
          <w:rFonts w:ascii="Arial" w:hAnsi="Arial" w:cs="Arial"/>
          <w:sz w:val="24"/>
          <w:szCs w:val="24"/>
        </w:rPr>
        <w:t xml:space="preserve">that </w:t>
      </w:r>
      <w:r w:rsidR="00CA717F">
        <w:rPr>
          <w:rFonts w:ascii="Arial" w:hAnsi="Arial" w:cs="Arial"/>
          <w:sz w:val="24"/>
          <w:szCs w:val="24"/>
        </w:rPr>
        <w:t>there will be professional lines of accountability to address any arising professional or quality issues. Allied Health Professionals across Bradford, Airedale and Craven have a strong history of collaboration and partnership working between Airedale NHS Trust, BDCFT and Bradford Teaching Hospitals Trust on workforce development and shared training and development</w:t>
      </w:r>
      <w:r w:rsidR="00205203">
        <w:rPr>
          <w:rFonts w:ascii="Arial" w:hAnsi="Arial" w:cs="Arial"/>
          <w:sz w:val="24"/>
          <w:szCs w:val="24"/>
        </w:rPr>
        <w:t xml:space="preserve"> and shared practice and knowledge</w:t>
      </w:r>
      <w:r w:rsidR="00CA717F">
        <w:rPr>
          <w:rFonts w:ascii="Arial" w:hAnsi="Arial" w:cs="Arial"/>
          <w:sz w:val="24"/>
          <w:szCs w:val="24"/>
        </w:rPr>
        <w:t xml:space="preserve">. </w:t>
      </w:r>
      <w:r w:rsidR="00BB0862">
        <w:rPr>
          <w:rFonts w:ascii="Arial" w:hAnsi="Arial" w:cs="Arial"/>
          <w:sz w:val="24"/>
          <w:szCs w:val="24"/>
        </w:rPr>
        <w:t>It is envisaged that OTs employed within WACA and provided by BDCFT would be able to experience the benefits</w:t>
      </w:r>
      <w:r w:rsidR="00205203">
        <w:rPr>
          <w:rFonts w:ascii="Arial" w:hAnsi="Arial" w:cs="Arial"/>
          <w:sz w:val="24"/>
          <w:szCs w:val="24"/>
        </w:rPr>
        <w:t xml:space="preserve"> from this collaboration. Having access to this wider professional support network could not only enhance the quality of care but also promote the attractiveness of these new roles for workforce recruitment and retention.  </w:t>
      </w:r>
    </w:p>
    <w:p w:rsidR="007D699B" w:rsidRDefault="007D699B" w:rsidP="00FC7D6D">
      <w:pPr>
        <w:spacing w:after="0" w:line="240" w:lineRule="auto"/>
        <w:jc w:val="both"/>
        <w:rPr>
          <w:rFonts w:ascii="Arial" w:hAnsi="Arial" w:cs="Arial"/>
          <w:sz w:val="24"/>
          <w:szCs w:val="24"/>
        </w:rPr>
      </w:pPr>
    </w:p>
    <w:p w:rsidR="00346D14" w:rsidRDefault="007D699B" w:rsidP="00FC7D6D">
      <w:pPr>
        <w:spacing w:after="0" w:line="240" w:lineRule="auto"/>
        <w:jc w:val="both"/>
        <w:rPr>
          <w:rFonts w:ascii="Arial" w:hAnsi="Arial" w:cs="Arial"/>
          <w:sz w:val="24"/>
          <w:szCs w:val="24"/>
        </w:rPr>
      </w:pPr>
      <w:r>
        <w:rPr>
          <w:rFonts w:ascii="Arial" w:hAnsi="Arial" w:cs="Arial"/>
          <w:sz w:val="24"/>
          <w:szCs w:val="24"/>
        </w:rPr>
        <w:t>Detailed governance arrangements will need to be agreed between WACA and BDCFT to develop the service specification and service level agreement</w:t>
      </w:r>
      <w:r w:rsidR="003A03E3">
        <w:rPr>
          <w:rFonts w:ascii="Arial" w:hAnsi="Arial" w:cs="Arial"/>
          <w:sz w:val="24"/>
          <w:szCs w:val="24"/>
        </w:rPr>
        <w:t xml:space="preserve"> which also incorporate the practical arrangements for employment, terms and conditions of staff, how the service will be covered and any arising Human Resource issues. BDCFT HR and Business Support Teams can advise on this.</w:t>
      </w:r>
    </w:p>
    <w:p w:rsidR="00B350B4" w:rsidRDefault="00B350B4" w:rsidP="00FC7D6D">
      <w:pPr>
        <w:spacing w:after="0" w:line="240" w:lineRule="auto"/>
        <w:jc w:val="both"/>
        <w:rPr>
          <w:rFonts w:ascii="Arial" w:hAnsi="Arial" w:cs="Arial"/>
          <w:sz w:val="24"/>
          <w:szCs w:val="24"/>
        </w:rPr>
      </w:pPr>
    </w:p>
    <w:p w:rsidR="00B350B4" w:rsidRDefault="00B350B4" w:rsidP="00FC7D6D">
      <w:pPr>
        <w:spacing w:after="0" w:line="240" w:lineRule="auto"/>
        <w:jc w:val="both"/>
        <w:rPr>
          <w:rFonts w:ascii="Arial" w:hAnsi="Arial" w:cs="Arial"/>
          <w:sz w:val="24"/>
          <w:szCs w:val="24"/>
          <w:u w:val="single"/>
        </w:rPr>
      </w:pPr>
      <w:r w:rsidRPr="003A03E3">
        <w:rPr>
          <w:rFonts w:ascii="Arial" w:hAnsi="Arial" w:cs="Arial"/>
          <w:sz w:val="24"/>
          <w:szCs w:val="24"/>
          <w:u w:val="single"/>
        </w:rPr>
        <w:t>Evaluation and Audit</w:t>
      </w:r>
    </w:p>
    <w:p w:rsidR="003A03E3" w:rsidRDefault="003A03E3" w:rsidP="00FC7D6D">
      <w:pPr>
        <w:spacing w:after="0" w:line="240" w:lineRule="auto"/>
        <w:jc w:val="both"/>
        <w:rPr>
          <w:rFonts w:ascii="Arial" w:hAnsi="Arial" w:cs="Arial"/>
          <w:sz w:val="24"/>
          <w:szCs w:val="24"/>
        </w:rPr>
      </w:pPr>
    </w:p>
    <w:p w:rsidR="00791696" w:rsidRDefault="00A4348D" w:rsidP="00661B8E">
      <w:pPr>
        <w:spacing w:after="0" w:line="240" w:lineRule="auto"/>
        <w:jc w:val="both"/>
        <w:rPr>
          <w:rFonts w:ascii="Arial" w:hAnsi="Arial" w:cs="Arial"/>
          <w:sz w:val="24"/>
          <w:szCs w:val="24"/>
          <w:shd w:val="clear" w:color="auto" w:fill="FFFFFF"/>
        </w:rPr>
      </w:pPr>
      <w:r>
        <w:rPr>
          <w:rFonts w:ascii="Arial" w:hAnsi="Arial" w:cs="Arial"/>
          <w:sz w:val="24"/>
          <w:szCs w:val="24"/>
        </w:rPr>
        <w:t>Lastly, a</w:t>
      </w:r>
      <w:r w:rsidR="003A03E3">
        <w:rPr>
          <w:rFonts w:ascii="Arial" w:hAnsi="Arial" w:cs="Arial"/>
          <w:sz w:val="24"/>
          <w:szCs w:val="24"/>
        </w:rPr>
        <w:t>s Mental Health OT roles in Primary Care are new and emerging</w:t>
      </w:r>
      <w:r>
        <w:rPr>
          <w:rFonts w:ascii="Arial" w:hAnsi="Arial" w:cs="Arial"/>
          <w:sz w:val="24"/>
          <w:szCs w:val="24"/>
        </w:rPr>
        <w:t>,</w:t>
      </w:r>
      <w:r w:rsidR="003A03E3">
        <w:rPr>
          <w:rFonts w:ascii="Arial" w:hAnsi="Arial" w:cs="Arial"/>
          <w:sz w:val="24"/>
          <w:szCs w:val="24"/>
        </w:rPr>
        <w:t xml:space="preserve"> and services are in development, there will need to be evaluate the effectiveness and measure outcomes to ensure quality care and best value for money. It is recommended that within the service specification for these roles there will need to be built in plans for auditing the </w:t>
      </w:r>
      <w:r>
        <w:rPr>
          <w:rFonts w:ascii="Arial" w:hAnsi="Arial" w:cs="Arial"/>
          <w:sz w:val="24"/>
          <w:szCs w:val="24"/>
        </w:rPr>
        <w:t>o</w:t>
      </w:r>
      <w:r w:rsidR="00706701">
        <w:rPr>
          <w:rFonts w:ascii="Arial" w:hAnsi="Arial" w:cs="Arial"/>
          <w:sz w:val="24"/>
          <w:szCs w:val="24"/>
        </w:rPr>
        <w:t xml:space="preserve">ccupational </w:t>
      </w:r>
      <w:r>
        <w:rPr>
          <w:rFonts w:ascii="Arial" w:hAnsi="Arial" w:cs="Arial"/>
          <w:sz w:val="24"/>
          <w:szCs w:val="24"/>
        </w:rPr>
        <w:t>t</w:t>
      </w:r>
      <w:r w:rsidR="00706701">
        <w:rPr>
          <w:rFonts w:ascii="Arial" w:hAnsi="Arial" w:cs="Arial"/>
          <w:sz w:val="24"/>
          <w:szCs w:val="24"/>
        </w:rPr>
        <w:t xml:space="preserve">herapy </w:t>
      </w:r>
      <w:r w:rsidR="003A03E3">
        <w:rPr>
          <w:rFonts w:ascii="Arial" w:hAnsi="Arial" w:cs="Arial"/>
          <w:sz w:val="24"/>
          <w:szCs w:val="24"/>
        </w:rPr>
        <w:t>need</w:t>
      </w:r>
      <w:r w:rsidR="00706701">
        <w:rPr>
          <w:rFonts w:ascii="Arial" w:hAnsi="Arial" w:cs="Arial"/>
          <w:sz w:val="24"/>
          <w:szCs w:val="24"/>
        </w:rPr>
        <w:t xml:space="preserve">s of patients presenting within WACA’s practices and detailed evaluation of the service offer in relation to patient needs, usage and outcomes, to determine whether the service is the right fit and to shape its future delivery. </w:t>
      </w:r>
      <w:r w:rsidR="00661B8E">
        <w:rPr>
          <w:rFonts w:ascii="Arial" w:hAnsi="Arial" w:cs="Arial"/>
          <w:sz w:val="24"/>
          <w:szCs w:val="24"/>
        </w:rPr>
        <w:t xml:space="preserve">Research and evaluation will be essential to understanding the distinct benefits of this service for WACA, building the evidence of what works for the different patient groups, and how to further enhance the service offer. </w:t>
      </w:r>
      <w:r w:rsidR="00706701">
        <w:rPr>
          <w:rFonts w:ascii="Arial" w:hAnsi="Arial" w:cs="Arial"/>
          <w:sz w:val="24"/>
          <w:szCs w:val="24"/>
        </w:rPr>
        <w:t>BDCFT has a strong relationship with HEI partners, and for Occupational Therapy there are well established links with Leeds Beckett University and University of Bradford to develop opportunities for research and service evaluation</w:t>
      </w:r>
      <w:r w:rsidR="00661B8E">
        <w:rPr>
          <w:rFonts w:ascii="Arial" w:hAnsi="Arial" w:cs="Arial"/>
          <w:sz w:val="24"/>
          <w:szCs w:val="24"/>
        </w:rPr>
        <w:t>.</w:t>
      </w:r>
      <w:bookmarkStart w:id="1" w:name="_Hlk49240280"/>
      <w:r w:rsidR="00953248">
        <w:rPr>
          <w:rFonts w:ascii="Open Sans" w:hAnsi="Open Sans"/>
          <w:color w:val="FFFFFF"/>
          <w:sz w:val="27"/>
          <w:szCs w:val="27"/>
          <w:shd w:val="clear" w:color="auto" w:fill="FFFFFF"/>
        </w:rPr>
        <w:t xml:space="preserve"> </w:t>
      </w:r>
    </w:p>
    <w:p w:rsidR="00791696" w:rsidRDefault="00791696" w:rsidP="00661B8E">
      <w:pPr>
        <w:spacing w:after="0" w:line="240" w:lineRule="auto"/>
        <w:jc w:val="both"/>
        <w:rPr>
          <w:rFonts w:ascii="Arial" w:hAnsi="Arial" w:cs="Arial"/>
          <w:sz w:val="24"/>
          <w:szCs w:val="24"/>
          <w:shd w:val="clear" w:color="auto" w:fill="FFFFFF"/>
        </w:rPr>
      </w:pPr>
    </w:p>
    <w:p w:rsidR="00791696" w:rsidRDefault="00791696" w:rsidP="00661B8E">
      <w:pPr>
        <w:spacing w:after="0" w:line="240" w:lineRule="auto"/>
        <w:jc w:val="both"/>
        <w:rPr>
          <w:rFonts w:ascii="Open Sans" w:hAnsi="Open Sans"/>
          <w:b/>
          <w:bCs/>
          <w:color w:val="FFFFFF"/>
          <w:sz w:val="27"/>
          <w:szCs w:val="27"/>
          <w:shd w:val="clear" w:color="auto" w:fill="FFFFFF"/>
        </w:rPr>
      </w:pPr>
      <w:r w:rsidRPr="00791696">
        <w:rPr>
          <w:rFonts w:ascii="Arial" w:hAnsi="Arial" w:cs="Arial"/>
          <w:b/>
          <w:bCs/>
          <w:sz w:val="24"/>
          <w:szCs w:val="24"/>
          <w:shd w:val="clear" w:color="auto" w:fill="FFFFFF"/>
        </w:rPr>
        <w:t>Summary</w:t>
      </w:r>
      <w:r w:rsidR="00953248" w:rsidRPr="00791696">
        <w:rPr>
          <w:rFonts w:ascii="Open Sans" w:hAnsi="Open Sans"/>
          <w:b/>
          <w:bCs/>
          <w:color w:val="FFFFFF"/>
          <w:sz w:val="27"/>
          <w:szCs w:val="27"/>
          <w:shd w:val="clear" w:color="auto" w:fill="FFFFFF"/>
        </w:rPr>
        <w:t xml:space="preserve"> </w:t>
      </w:r>
    </w:p>
    <w:p w:rsidR="00277398" w:rsidRPr="00277398" w:rsidRDefault="00277398" w:rsidP="00661B8E">
      <w:pPr>
        <w:spacing w:after="0" w:line="240" w:lineRule="auto"/>
        <w:jc w:val="both"/>
        <w:rPr>
          <w:rFonts w:ascii="Arial" w:hAnsi="Arial" w:cs="Arial"/>
          <w:color w:val="FFFFFF"/>
          <w:sz w:val="24"/>
          <w:szCs w:val="24"/>
          <w:shd w:val="clear" w:color="auto" w:fill="FFFFFF"/>
        </w:rPr>
      </w:pPr>
    </w:p>
    <w:p w:rsidR="00791696" w:rsidRDefault="00791696" w:rsidP="0079169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This paper has provided an outline description of how occupational therapists can support delivery of integrated primary care within Wharfedale, Airedale and Craven</w:t>
      </w:r>
      <w:r w:rsidR="00557EF7">
        <w:rPr>
          <w:rFonts w:ascii="Arial" w:hAnsi="Arial" w:cs="Arial"/>
          <w:sz w:val="24"/>
          <w:szCs w:val="24"/>
          <w:shd w:val="clear" w:color="auto" w:fill="FFFFFF"/>
        </w:rPr>
        <w:t>. Mental health occupational therapy is an emerging area of practice within Primary Care, and as such models of practice are being developed and are still in their infancy. However, the integrated skills of OTs and knowledge of working across physical and mental health and with people with a diverse range of needs fits well with the primary care model, to support people to stay well, at home or as close to home as possible and to live their lives as fully as possible</w:t>
      </w:r>
      <w:r w:rsidR="00277398">
        <w:rPr>
          <w:rFonts w:ascii="Arial" w:hAnsi="Arial" w:cs="Arial"/>
          <w:sz w:val="24"/>
          <w:szCs w:val="24"/>
          <w:shd w:val="clear" w:color="auto" w:fill="FFFFFF"/>
        </w:rPr>
        <w:t>.</w:t>
      </w:r>
    </w:p>
    <w:p w:rsidR="00557EF7" w:rsidRDefault="00557EF7" w:rsidP="00791696">
      <w:pPr>
        <w:spacing w:after="0" w:line="240" w:lineRule="auto"/>
        <w:jc w:val="both"/>
        <w:rPr>
          <w:rFonts w:ascii="Arial" w:hAnsi="Arial" w:cs="Arial"/>
          <w:sz w:val="24"/>
          <w:szCs w:val="24"/>
          <w:shd w:val="clear" w:color="auto" w:fill="FFFFFF"/>
        </w:rPr>
      </w:pPr>
    </w:p>
    <w:p w:rsidR="009E4D4D" w:rsidRDefault="00277398" w:rsidP="00277398">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It has not been</w:t>
      </w:r>
      <w:r w:rsidR="00557EF7">
        <w:rPr>
          <w:rFonts w:ascii="Arial" w:hAnsi="Arial" w:cs="Arial"/>
          <w:sz w:val="24"/>
          <w:szCs w:val="24"/>
          <w:shd w:val="clear" w:color="auto" w:fill="FFFFFF"/>
        </w:rPr>
        <w:t xml:space="preserve"> </w:t>
      </w:r>
      <w:r>
        <w:rPr>
          <w:rFonts w:ascii="Arial" w:hAnsi="Arial" w:cs="Arial"/>
          <w:sz w:val="24"/>
          <w:szCs w:val="24"/>
          <w:shd w:val="clear" w:color="auto" w:fill="FFFFFF"/>
        </w:rPr>
        <w:t xml:space="preserve">the </w:t>
      </w:r>
      <w:r w:rsidR="00557EF7">
        <w:rPr>
          <w:rFonts w:ascii="Arial" w:hAnsi="Arial" w:cs="Arial"/>
          <w:sz w:val="24"/>
          <w:szCs w:val="24"/>
          <w:shd w:val="clear" w:color="auto" w:fill="FFFFFF"/>
        </w:rPr>
        <w:t>inten</w:t>
      </w:r>
      <w:r>
        <w:rPr>
          <w:rFonts w:ascii="Arial" w:hAnsi="Arial" w:cs="Arial"/>
          <w:sz w:val="24"/>
          <w:szCs w:val="24"/>
          <w:shd w:val="clear" w:color="auto" w:fill="FFFFFF"/>
        </w:rPr>
        <w:t>tion</w:t>
      </w:r>
      <w:r w:rsidR="00557EF7">
        <w:rPr>
          <w:rFonts w:ascii="Arial" w:hAnsi="Arial" w:cs="Arial"/>
          <w:sz w:val="24"/>
          <w:szCs w:val="24"/>
          <w:shd w:val="clear" w:color="auto" w:fill="FFFFFF"/>
        </w:rPr>
        <w:t xml:space="preserve"> </w:t>
      </w:r>
      <w:r>
        <w:rPr>
          <w:rFonts w:ascii="Arial" w:hAnsi="Arial" w:cs="Arial"/>
          <w:sz w:val="24"/>
          <w:szCs w:val="24"/>
          <w:shd w:val="clear" w:color="auto" w:fill="FFFFFF"/>
        </w:rPr>
        <w:t xml:space="preserve">of this paper </w:t>
      </w:r>
      <w:r w:rsidR="00557EF7">
        <w:rPr>
          <w:rFonts w:ascii="Arial" w:hAnsi="Arial" w:cs="Arial"/>
          <w:sz w:val="24"/>
          <w:szCs w:val="24"/>
          <w:shd w:val="clear" w:color="auto" w:fill="FFFFFF"/>
        </w:rPr>
        <w:t xml:space="preserve">to provide a full detailed model of service as this will need to be developed with </w:t>
      </w:r>
      <w:r>
        <w:rPr>
          <w:rFonts w:ascii="Arial" w:hAnsi="Arial" w:cs="Arial"/>
          <w:sz w:val="24"/>
          <w:szCs w:val="24"/>
          <w:shd w:val="clear" w:color="auto" w:fill="FFFFFF"/>
        </w:rPr>
        <w:t xml:space="preserve">the </w:t>
      </w:r>
      <w:r w:rsidR="00557EF7">
        <w:rPr>
          <w:rFonts w:ascii="Arial" w:hAnsi="Arial" w:cs="Arial"/>
          <w:sz w:val="24"/>
          <w:szCs w:val="24"/>
          <w:shd w:val="clear" w:color="auto" w:fill="FFFFFF"/>
        </w:rPr>
        <w:t>time to fully understand the needs of the patient groups within Wharfedale, Airedale and Craven. It has instead provided an idea of how occupational therapists can work and what they can offer to a primary care team</w:t>
      </w:r>
      <w:r>
        <w:rPr>
          <w:rFonts w:ascii="Arial" w:hAnsi="Arial" w:cs="Arial"/>
          <w:sz w:val="24"/>
          <w:szCs w:val="24"/>
          <w:shd w:val="clear" w:color="auto" w:fill="FFFFFF"/>
        </w:rPr>
        <w:t>, workforce skill mix options</w:t>
      </w:r>
      <w:r w:rsidR="00557EF7">
        <w:rPr>
          <w:rFonts w:ascii="Arial" w:hAnsi="Arial" w:cs="Arial"/>
          <w:sz w:val="24"/>
          <w:szCs w:val="24"/>
          <w:shd w:val="clear" w:color="auto" w:fill="FFFFFF"/>
        </w:rPr>
        <w:t xml:space="preserve"> and how BDCFT can support the development of these roles and the governance arrangements needed. </w:t>
      </w:r>
      <w:bookmarkEnd w:id="1"/>
      <w:r>
        <w:rPr>
          <w:rFonts w:ascii="Arial" w:hAnsi="Arial" w:cs="Arial"/>
          <w:sz w:val="24"/>
          <w:szCs w:val="24"/>
          <w:shd w:val="clear" w:color="auto" w:fill="FFFFFF"/>
        </w:rPr>
        <w:t xml:space="preserve">BDCFT will welcome further discussions with the board of </w:t>
      </w:r>
      <w:r w:rsidR="00513197">
        <w:rPr>
          <w:rFonts w:ascii="Arial" w:hAnsi="Arial" w:cs="Arial"/>
          <w:sz w:val="24"/>
          <w:szCs w:val="24"/>
          <w:shd w:val="clear" w:color="auto" w:fill="FFFFFF"/>
        </w:rPr>
        <w:t xml:space="preserve">WACA on further progression on these roles and supporting their implementation. </w:t>
      </w:r>
    </w:p>
    <w:p w:rsidR="00277398" w:rsidRDefault="00277398" w:rsidP="0054072D">
      <w:pPr>
        <w:spacing w:after="0" w:line="240" w:lineRule="auto"/>
        <w:rPr>
          <w:rFonts w:ascii="Arial" w:hAnsi="Arial" w:cs="Arial"/>
          <w:sz w:val="24"/>
          <w:szCs w:val="24"/>
          <w:shd w:val="clear" w:color="auto" w:fill="FFFFFF"/>
        </w:rPr>
      </w:pPr>
    </w:p>
    <w:p w:rsidR="009E4D4D" w:rsidRDefault="009E4D4D" w:rsidP="0054072D">
      <w:pPr>
        <w:spacing w:after="0" w:line="240" w:lineRule="auto"/>
        <w:rPr>
          <w:rFonts w:ascii="Arial" w:hAnsi="Arial" w:cs="Arial"/>
          <w:b/>
          <w:bCs/>
          <w:sz w:val="24"/>
          <w:szCs w:val="24"/>
        </w:rPr>
      </w:pPr>
      <w:r>
        <w:rPr>
          <w:rFonts w:ascii="Arial" w:hAnsi="Arial" w:cs="Arial"/>
          <w:b/>
          <w:bCs/>
          <w:sz w:val="24"/>
          <w:szCs w:val="24"/>
        </w:rPr>
        <w:t>References</w:t>
      </w:r>
    </w:p>
    <w:p w:rsidR="008D225A" w:rsidRDefault="008D225A" w:rsidP="0054072D">
      <w:pPr>
        <w:spacing w:after="0" w:line="240" w:lineRule="auto"/>
        <w:rPr>
          <w:rFonts w:ascii="Arial" w:hAnsi="Arial" w:cs="Arial"/>
          <w:b/>
          <w:bCs/>
          <w:sz w:val="24"/>
          <w:szCs w:val="24"/>
        </w:rPr>
      </w:pPr>
    </w:p>
    <w:p w:rsidR="008D225A" w:rsidRPr="008D225A" w:rsidRDefault="008D225A" w:rsidP="0054072D">
      <w:pPr>
        <w:spacing w:after="0" w:line="240" w:lineRule="auto"/>
        <w:rPr>
          <w:rFonts w:ascii="Arial" w:hAnsi="Arial" w:cs="Arial"/>
          <w:b/>
          <w:bCs/>
          <w:sz w:val="20"/>
          <w:szCs w:val="20"/>
        </w:rPr>
      </w:pPr>
      <w:r w:rsidRPr="008D225A">
        <w:rPr>
          <w:rFonts w:ascii="Arial" w:hAnsi="Arial" w:cs="Arial"/>
          <w:sz w:val="20"/>
          <w:szCs w:val="20"/>
        </w:rPr>
        <w:t>Bradford City and Bradford Districts Clinical Commissioning Groups and Bradford Metropolitan Council (2020)</w:t>
      </w:r>
    </w:p>
    <w:p w:rsidR="008D225A" w:rsidRDefault="008D225A" w:rsidP="0054072D">
      <w:pPr>
        <w:spacing w:after="0" w:line="240" w:lineRule="auto"/>
        <w:rPr>
          <w:rFonts w:ascii="Arial" w:hAnsi="Arial" w:cs="Arial"/>
          <w:sz w:val="20"/>
          <w:szCs w:val="20"/>
        </w:rPr>
      </w:pPr>
    </w:p>
    <w:p w:rsidR="00A4348D" w:rsidRDefault="00A4348D" w:rsidP="0054072D">
      <w:pPr>
        <w:spacing w:after="0" w:line="240" w:lineRule="auto"/>
        <w:rPr>
          <w:rFonts w:ascii="Arial" w:hAnsi="Arial" w:cs="Arial"/>
          <w:sz w:val="20"/>
          <w:szCs w:val="20"/>
        </w:rPr>
      </w:pPr>
      <w:r>
        <w:rPr>
          <w:rFonts w:ascii="Arial" w:hAnsi="Arial" w:cs="Arial"/>
          <w:sz w:val="20"/>
          <w:szCs w:val="20"/>
        </w:rPr>
        <w:t xml:space="preserve">Brooks R, Thew M (2020) </w:t>
      </w:r>
      <w:r w:rsidR="00475E04">
        <w:rPr>
          <w:rFonts w:ascii="Arial" w:hAnsi="Arial" w:cs="Arial"/>
          <w:sz w:val="20"/>
          <w:szCs w:val="20"/>
        </w:rPr>
        <w:t xml:space="preserve">(un-published) </w:t>
      </w:r>
      <w:r>
        <w:rPr>
          <w:rFonts w:ascii="Arial" w:hAnsi="Arial" w:cs="Arial"/>
          <w:sz w:val="20"/>
          <w:szCs w:val="20"/>
        </w:rPr>
        <w:t>Oc</w:t>
      </w:r>
      <w:r w:rsidRPr="00475E04">
        <w:rPr>
          <w:rFonts w:ascii="Arial" w:hAnsi="Arial" w:cs="Arial"/>
          <w:sz w:val="20"/>
          <w:szCs w:val="20"/>
          <w:u w:val="single"/>
        </w:rPr>
        <w:t xml:space="preserve">cupational Therapy First: Phase 1 Report. </w:t>
      </w:r>
      <w:r>
        <w:rPr>
          <w:rFonts w:ascii="Arial" w:hAnsi="Arial" w:cs="Arial"/>
          <w:sz w:val="20"/>
          <w:szCs w:val="20"/>
        </w:rPr>
        <w:t xml:space="preserve">A report </w:t>
      </w:r>
      <w:r w:rsidR="00475E04">
        <w:rPr>
          <w:rFonts w:ascii="Arial" w:hAnsi="Arial" w:cs="Arial"/>
          <w:sz w:val="20"/>
          <w:szCs w:val="20"/>
        </w:rPr>
        <w:t xml:space="preserve">completed </w:t>
      </w:r>
      <w:r>
        <w:rPr>
          <w:rFonts w:ascii="Arial" w:hAnsi="Arial" w:cs="Arial"/>
          <w:sz w:val="20"/>
          <w:szCs w:val="20"/>
        </w:rPr>
        <w:t>in collaboration with Leeds and York Partnership NHS Trust, Leeds Community NHS Trust, Leeds Teaching Hospitals NHS Trust, Leeds West Primary Care Network</w:t>
      </w:r>
      <w:r w:rsidR="00475E04">
        <w:rPr>
          <w:rFonts w:ascii="Arial" w:hAnsi="Arial" w:cs="Arial"/>
          <w:sz w:val="20"/>
          <w:szCs w:val="20"/>
        </w:rPr>
        <w:t xml:space="preserve"> and Leeds Beckett University on OT Pilot within GP Practice</w:t>
      </w:r>
    </w:p>
    <w:p w:rsidR="00475E04" w:rsidRDefault="00475E04" w:rsidP="0054072D">
      <w:pPr>
        <w:spacing w:after="0" w:line="240" w:lineRule="auto"/>
        <w:rPr>
          <w:rFonts w:ascii="Arial" w:hAnsi="Arial" w:cs="Arial"/>
          <w:sz w:val="20"/>
          <w:szCs w:val="20"/>
        </w:rPr>
      </w:pPr>
    </w:p>
    <w:p w:rsidR="00791696" w:rsidRDefault="008D225A" w:rsidP="0054072D">
      <w:pPr>
        <w:spacing w:after="0" w:line="240" w:lineRule="auto"/>
        <w:rPr>
          <w:rFonts w:ascii="Arial" w:hAnsi="Arial" w:cs="Arial"/>
          <w:sz w:val="20"/>
          <w:szCs w:val="20"/>
        </w:rPr>
      </w:pPr>
      <w:r w:rsidRPr="008D225A">
        <w:rPr>
          <w:rFonts w:ascii="Arial" w:hAnsi="Arial" w:cs="Arial"/>
          <w:sz w:val="20"/>
          <w:szCs w:val="20"/>
        </w:rPr>
        <w:t>Brookes, Milligan and White</w:t>
      </w:r>
      <w:r>
        <w:rPr>
          <w:rFonts w:ascii="Arial" w:hAnsi="Arial" w:cs="Arial"/>
          <w:sz w:val="20"/>
          <w:szCs w:val="20"/>
        </w:rPr>
        <w:t xml:space="preserve"> (2017)</w:t>
      </w:r>
      <w:r w:rsidR="00791696">
        <w:rPr>
          <w:rFonts w:ascii="Arial" w:hAnsi="Arial" w:cs="Arial"/>
          <w:sz w:val="20"/>
          <w:szCs w:val="20"/>
        </w:rPr>
        <w:t xml:space="preserve"> Sustainability and Transformation Plans: occupational therapists and physiotherapists can support GPs. </w:t>
      </w:r>
      <w:r w:rsidR="00791696" w:rsidRPr="00791696">
        <w:rPr>
          <w:rFonts w:ascii="Arial" w:hAnsi="Arial" w:cs="Arial"/>
          <w:sz w:val="20"/>
          <w:szCs w:val="20"/>
          <w:u w:val="single"/>
        </w:rPr>
        <w:t>British Journal of General Practice,</w:t>
      </w:r>
      <w:r w:rsidR="00791696">
        <w:rPr>
          <w:rFonts w:ascii="Arial" w:hAnsi="Arial" w:cs="Arial"/>
          <w:sz w:val="20"/>
          <w:szCs w:val="20"/>
        </w:rPr>
        <w:t xml:space="preserve"> 67(664), 525-526</w:t>
      </w:r>
    </w:p>
    <w:p w:rsidR="00791696" w:rsidRDefault="00791696" w:rsidP="0054072D">
      <w:pPr>
        <w:spacing w:after="0" w:line="240" w:lineRule="auto"/>
        <w:rPr>
          <w:rFonts w:ascii="Arial" w:hAnsi="Arial" w:cs="Arial"/>
          <w:sz w:val="20"/>
          <w:szCs w:val="20"/>
        </w:rPr>
      </w:pPr>
    </w:p>
    <w:p w:rsidR="008D225A" w:rsidRDefault="008D225A" w:rsidP="008D225A">
      <w:pPr>
        <w:spacing w:after="0" w:line="240" w:lineRule="auto"/>
        <w:rPr>
          <w:rFonts w:ascii="Arial" w:hAnsi="Arial" w:cs="Arial"/>
          <w:sz w:val="20"/>
          <w:szCs w:val="20"/>
        </w:rPr>
      </w:pPr>
      <w:r w:rsidRPr="008D225A">
        <w:rPr>
          <w:rFonts w:ascii="Arial" w:hAnsi="Arial" w:cs="Arial"/>
          <w:sz w:val="20"/>
          <w:szCs w:val="20"/>
        </w:rPr>
        <w:t>Dahl-Popolizio</w:t>
      </w:r>
      <w:r w:rsidR="002A469C">
        <w:rPr>
          <w:rFonts w:ascii="Arial" w:hAnsi="Arial" w:cs="Arial"/>
          <w:sz w:val="20"/>
          <w:szCs w:val="20"/>
        </w:rPr>
        <w:t xml:space="preserve"> S, Rogers O, Muir SL</w:t>
      </w:r>
      <w:r w:rsidRPr="008D225A">
        <w:rPr>
          <w:rFonts w:ascii="Arial" w:hAnsi="Arial" w:cs="Arial"/>
          <w:sz w:val="20"/>
          <w:szCs w:val="20"/>
        </w:rPr>
        <w:t xml:space="preserve"> et al </w:t>
      </w:r>
      <w:r>
        <w:rPr>
          <w:rFonts w:ascii="Arial" w:hAnsi="Arial" w:cs="Arial"/>
          <w:sz w:val="20"/>
          <w:szCs w:val="20"/>
        </w:rPr>
        <w:t>(</w:t>
      </w:r>
      <w:r w:rsidRPr="008D225A">
        <w:rPr>
          <w:rFonts w:ascii="Arial" w:hAnsi="Arial" w:cs="Arial"/>
          <w:sz w:val="20"/>
          <w:szCs w:val="20"/>
        </w:rPr>
        <w:t>2017</w:t>
      </w:r>
      <w:r>
        <w:rPr>
          <w:rFonts w:ascii="Arial" w:hAnsi="Arial" w:cs="Arial"/>
          <w:sz w:val="20"/>
          <w:szCs w:val="20"/>
        </w:rPr>
        <w:t>)</w:t>
      </w:r>
      <w:r w:rsidR="002A469C">
        <w:rPr>
          <w:rFonts w:ascii="Arial" w:hAnsi="Arial" w:cs="Arial"/>
          <w:sz w:val="20"/>
          <w:szCs w:val="20"/>
        </w:rPr>
        <w:t xml:space="preserve"> Interprofessional Primary Care: The Value of Occupational Therapy. </w:t>
      </w:r>
      <w:r w:rsidR="002A469C" w:rsidRPr="002A469C">
        <w:rPr>
          <w:rFonts w:ascii="Arial" w:hAnsi="Arial" w:cs="Arial"/>
          <w:sz w:val="20"/>
          <w:szCs w:val="20"/>
          <w:u w:val="single"/>
        </w:rPr>
        <w:t>Open Journal of Occupational Therapy,</w:t>
      </w:r>
      <w:r w:rsidR="002A469C">
        <w:rPr>
          <w:rFonts w:ascii="Arial" w:hAnsi="Arial" w:cs="Arial"/>
          <w:sz w:val="20"/>
          <w:szCs w:val="20"/>
        </w:rPr>
        <w:t xml:space="preserve"> 5(3), 1-10</w:t>
      </w:r>
    </w:p>
    <w:p w:rsidR="008D225A" w:rsidRDefault="008D225A" w:rsidP="0054072D">
      <w:pPr>
        <w:spacing w:after="0" w:line="240" w:lineRule="auto"/>
        <w:rPr>
          <w:rFonts w:ascii="Arial" w:hAnsi="Arial" w:cs="Arial"/>
          <w:sz w:val="20"/>
          <w:szCs w:val="20"/>
        </w:rPr>
      </w:pPr>
    </w:p>
    <w:p w:rsidR="008D225A" w:rsidRDefault="008D225A" w:rsidP="0054072D">
      <w:pPr>
        <w:spacing w:after="0" w:line="240" w:lineRule="auto"/>
        <w:rPr>
          <w:rFonts w:ascii="Arial" w:hAnsi="Arial" w:cs="Arial"/>
          <w:sz w:val="20"/>
          <w:szCs w:val="20"/>
        </w:rPr>
      </w:pPr>
      <w:r>
        <w:rPr>
          <w:rFonts w:ascii="Arial" w:hAnsi="Arial" w:cs="Arial"/>
          <w:sz w:val="20"/>
          <w:szCs w:val="20"/>
        </w:rPr>
        <w:t xml:space="preserve">Locas </w:t>
      </w:r>
      <w:r w:rsidR="00475E04">
        <w:rPr>
          <w:rFonts w:ascii="Arial" w:hAnsi="Arial" w:cs="Arial"/>
          <w:sz w:val="20"/>
          <w:szCs w:val="20"/>
        </w:rPr>
        <w:t xml:space="preserve">V, Prefontaine C, Veillette N </w:t>
      </w:r>
      <w:r>
        <w:rPr>
          <w:rFonts w:ascii="Arial" w:hAnsi="Arial" w:cs="Arial"/>
          <w:sz w:val="20"/>
          <w:szCs w:val="20"/>
        </w:rPr>
        <w:t>et al (2019)</w:t>
      </w:r>
      <w:r w:rsidR="00475E04">
        <w:rPr>
          <w:rFonts w:ascii="Arial" w:hAnsi="Arial" w:cs="Arial"/>
          <w:sz w:val="20"/>
          <w:szCs w:val="20"/>
        </w:rPr>
        <w:t xml:space="preserve"> Integration of occupational therapists into family medicine groups: Physicians’ perspectives. </w:t>
      </w:r>
      <w:r w:rsidR="00475E04" w:rsidRPr="00475E04">
        <w:rPr>
          <w:rFonts w:ascii="Arial" w:hAnsi="Arial" w:cs="Arial"/>
          <w:sz w:val="20"/>
          <w:szCs w:val="20"/>
          <w:u w:val="single"/>
        </w:rPr>
        <w:t>British Journal of Occupational Therapy</w:t>
      </w:r>
      <w:r w:rsidR="00475E04">
        <w:rPr>
          <w:rFonts w:ascii="Arial" w:hAnsi="Arial" w:cs="Arial"/>
          <w:sz w:val="20"/>
          <w:szCs w:val="20"/>
        </w:rPr>
        <w:t>, 0(0), 1-11</w:t>
      </w:r>
    </w:p>
    <w:p w:rsidR="00475E04" w:rsidRDefault="00475E04" w:rsidP="0054072D">
      <w:pPr>
        <w:spacing w:after="0" w:line="240" w:lineRule="auto"/>
        <w:rPr>
          <w:rFonts w:ascii="Arial" w:hAnsi="Arial" w:cs="Arial"/>
          <w:sz w:val="20"/>
          <w:szCs w:val="20"/>
        </w:rPr>
      </w:pPr>
    </w:p>
    <w:p w:rsidR="00475E04" w:rsidRPr="008D225A" w:rsidRDefault="00475E04" w:rsidP="0054072D">
      <w:pPr>
        <w:spacing w:after="0" w:line="240" w:lineRule="auto"/>
        <w:rPr>
          <w:rFonts w:ascii="Arial" w:hAnsi="Arial" w:cs="Arial"/>
          <w:sz w:val="20"/>
          <w:szCs w:val="20"/>
        </w:rPr>
      </w:pPr>
      <w:r>
        <w:rPr>
          <w:rFonts w:ascii="Arial" w:hAnsi="Arial" w:cs="Arial"/>
          <w:sz w:val="20"/>
          <w:szCs w:val="20"/>
        </w:rPr>
        <w:t xml:space="preserve">McCabe S, Greer L on behalf of NHS Lanarkshire, Health and Social Care Lanarkshire and South Lanarkshire Health and Care Partnership (2020) (unpublished and available from RCOT) </w:t>
      </w:r>
      <w:r w:rsidRPr="00475E04">
        <w:rPr>
          <w:rFonts w:ascii="Arial" w:hAnsi="Arial" w:cs="Arial"/>
          <w:sz w:val="20"/>
          <w:szCs w:val="20"/>
          <w:u w:val="single"/>
        </w:rPr>
        <w:t>Occupational Therapy in Primary Care</w:t>
      </w:r>
    </w:p>
    <w:p w:rsidR="009E4D4D" w:rsidRDefault="009E4D4D" w:rsidP="0054072D">
      <w:pPr>
        <w:spacing w:after="0" w:line="240" w:lineRule="auto"/>
        <w:rPr>
          <w:rFonts w:ascii="Arial" w:hAnsi="Arial" w:cs="Arial"/>
          <w:b/>
          <w:bCs/>
          <w:sz w:val="24"/>
          <w:szCs w:val="24"/>
        </w:rPr>
      </w:pPr>
    </w:p>
    <w:p w:rsidR="009E4D4D" w:rsidRPr="009E4D4D" w:rsidRDefault="009E4D4D" w:rsidP="0054072D">
      <w:pPr>
        <w:spacing w:after="0" w:line="240" w:lineRule="auto"/>
        <w:rPr>
          <w:rFonts w:ascii="Arial" w:hAnsi="Arial" w:cs="Arial"/>
          <w:sz w:val="20"/>
          <w:szCs w:val="20"/>
        </w:rPr>
      </w:pPr>
      <w:r w:rsidRPr="009E4D4D">
        <w:rPr>
          <w:rFonts w:ascii="Arial" w:hAnsi="Arial" w:cs="Arial"/>
          <w:sz w:val="20"/>
          <w:szCs w:val="20"/>
        </w:rPr>
        <w:t>NHS England (2019) Investment and Evolution: a five</w:t>
      </w:r>
      <w:r>
        <w:rPr>
          <w:rFonts w:ascii="Arial" w:hAnsi="Arial" w:cs="Arial"/>
          <w:sz w:val="20"/>
          <w:szCs w:val="20"/>
        </w:rPr>
        <w:t>-</w:t>
      </w:r>
      <w:r w:rsidRPr="009E4D4D">
        <w:rPr>
          <w:rFonts w:ascii="Arial" w:hAnsi="Arial" w:cs="Arial"/>
          <w:sz w:val="20"/>
          <w:szCs w:val="20"/>
        </w:rPr>
        <w:t xml:space="preserve">year framework for GP Contract reform to implement The NHS Long Term Plan. (online) available from: </w:t>
      </w:r>
      <w:hyperlink r:id="rId15" w:history="1">
        <w:r w:rsidRPr="009E4D4D">
          <w:rPr>
            <w:rFonts w:ascii="Arial" w:hAnsi="Arial" w:cs="Arial"/>
            <w:color w:val="0000FF"/>
            <w:sz w:val="20"/>
            <w:szCs w:val="20"/>
            <w:u w:val="single"/>
          </w:rPr>
          <w:t>https://www.england.nhs.uk/wp-content/uploads/2019/01/gp-contract-2019.pdf</w:t>
        </w:r>
      </w:hyperlink>
      <w:r w:rsidRPr="009E4D4D">
        <w:rPr>
          <w:rFonts w:ascii="Arial" w:hAnsi="Arial" w:cs="Arial"/>
          <w:sz w:val="20"/>
          <w:szCs w:val="20"/>
        </w:rPr>
        <w:t xml:space="preserve"> accessed 25/08/20</w:t>
      </w:r>
    </w:p>
    <w:p w:rsidR="009E4D4D" w:rsidRPr="009E4D4D" w:rsidRDefault="009E4D4D" w:rsidP="0054072D">
      <w:pPr>
        <w:spacing w:after="0" w:line="240" w:lineRule="auto"/>
        <w:rPr>
          <w:rFonts w:ascii="Arial" w:hAnsi="Arial" w:cs="Arial"/>
          <w:sz w:val="24"/>
          <w:szCs w:val="24"/>
        </w:rPr>
      </w:pPr>
    </w:p>
    <w:p w:rsidR="009E4D4D" w:rsidRDefault="009E4D4D" w:rsidP="0054072D">
      <w:pPr>
        <w:spacing w:after="0" w:line="240" w:lineRule="auto"/>
        <w:rPr>
          <w:rFonts w:ascii="Arial" w:hAnsi="Arial" w:cs="Arial"/>
          <w:sz w:val="20"/>
          <w:szCs w:val="20"/>
        </w:rPr>
      </w:pPr>
      <w:r w:rsidRPr="009E4D4D">
        <w:rPr>
          <w:rFonts w:ascii="Arial" w:hAnsi="Arial" w:cs="Arial"/>
          <w:sz w:val="20"/>
          <w:szCs w:val="20"/>
        </w:rPr>
        <w:t xml:space="preserve">NHS England (2020) Update to the GP Contract Agreement 2020/2021 – 2023/2024 (online) available from: </w:t>
      </w:r>
      <w:hyperlink r:id="rId16" w:history="1">
        <w:r w:rsidR="008374A6" w:rsidRPr="006E17B9">
          <w:rPr>
            <w:rStyle w:val="Hyperlink"/>
            <w:rFonts w:cs="Arial"/>
            <w:sz w:val="20"/>
            <w:szCs w:val="20"/>
          </w:rPr>
          <w:t>https://www.england.nhs.uk/wp-content/uploads/2020/03/update-to-the-gp-contract-agreement-v2-updated.pdf accessed 25/08/20</w:t>
        </w:r>
      </w:hyperlink>
    </w:p>
    <w:p w:rsidR="008374A6" w:rsidRDefault="008374A6" w:rsidP="0054072D">
      <w:pPr>
        <w:spacing w:after="0" w:line="240" w:lineRule="auto"/>
      </w:pPr>
    </w:p>
    <w:p w:rsidR="008374A6" w:rsidRPr="008374A6" w:rsidRDefault="008374A6" w:rsidP="0054072D">
      <w:pPr>
        <w:spacing w:after="0" w:line="240" w:lineRule="auto"/>
        <w:rPr>
          <w:rFonts w:ascii="Arial" w:hAnsi="Arial" w:cs="Arial"/>
          <w:sz w:val="20"/>
          <w:szCs w:val="20"/>
        </w:rPr>
      </w:pPr>
      <w:r w:rsidRPr="008374A6">
        <w:rPr>
          <w:rFonts w:ascii="Arial" w:hAnsi="Arial" w:cs="Arial"/>
          <w:sz w:val="20"/>
          <w:szCs w:val="20"/>
        </w:rPr>
        <w:t xml:space="preserve">Orman </w:t>
      </w:r>
      <w:r>
        <w:rPr>
          <w:rFonts w:ascii="Arial" w:hAnsi="Arial" w:cs="Arial"/>
          <w:sz w:val="20"/>
          <w:szCs w:val="20"/>
        </w:rPr>
        <w:t xml:space="preserve">K (2018) </w:t>
      </w:r>
      <w:r w:rsidRPr="008374A6">
        <w:rPr>
          <w:rFonts w:ascii="Arial" w:hAnsi="Arial" w:cs="Arial"/>
          <w:sz w:val="20"/>
          <w:szCs w:val="20"/>
          <w:u w:val="single"/>
        </w:rPr>
        <w:t>Primary Care – Why the push from RCOT?</w:t>
      </w:r>
      <w:r w:rsidRPr="008374A6">
        <w:rPr>
          <w:rFonts w:ascii="Arial" w:hAnsi="Arial" w:cs="Arial"/>
          <w:sz w:val="20"/>
          <w:szCs w:val="20"/>
        </w:rPr>
        <w:t xml:space="preserve"> </w:t>
      </w:r>
      <w:r>
        <w:rPr>
          <w:rFonts w:ascii="Arial" w:hAnsi="Arial" w:cs="Arial"/>
          <w:sz w:val="20"/>
          <w:szCs w:val="20"/>
        </w:rPr>
        <w:t xml:space="preserve">OT News, November </w:t>
      </w:r>
    </w:p>
    <w:p w:rsidR="008374A6" w:rsidRDefault="008374A6" w:rsidP="0054072D">
      <w:pPr>
        <w:spacing w:after="0" w:line="240" w:lineRule="auto"/>
        <w:rPr>
          <w:color w:val="0000FF"/>
          <w:u w:val="single"/>
        </w:rPr>
      </w:pPr>
    </w:p>
    <w:p w:rsidR="00791696" w:rsidRDefault="00475E04" w:rsidP="00475E04">
      <w:pPr>
        <w:spacing w:after="0" w:line="240" w:lineRule="auto"/>
      </w:pPr>
      <w:r>
        <w:t xml:space="preserve">Phillips K </w:t>
      </w:r>
      <w:r w:rsidR="00791696">
        <w:t xml:space="preserve">(2020) On behalf of </w:t>
      </w:r>
      <w:r>
        <w:t>NHS Wales and Public Health Wales</w:t>
      </w:r>
      <w:r w:rsidR="00791696">
        <w:t xml:space="preserve"> (unpublished and available from RCOT). </w:t>
      </w:r>
      <w:r w:rsidR="00791696" w:rsidRPr="00791696">
        <w:rPr>
          <w:u w:val="single"/>
        </w:rPr>
        <w:t>Occupational Therapy in Primary Care in Mid and West Wales</w:t>
      </w:r>
      <w:r w:rsidR="00791696">
        <w:t xml:space="preserve"> </w:t>
      </w:r>
    </w:p>
    <w:p w:rsidR="00475E04" w:rsidRDefault="00791696" w:rsidP="00475E04">
      <w:pPr>
        <w:spacing w:after="0" w:line="240" w:lineRule="auto"/>
      </w:pPr>
      <w:r>
        <w:t>Information on this service and d</w:t>
      </w:r>
      <w:r w:rsidR="00475E04">
        <w:t xml:space="preserve">eveloping </w:t>
      </w:r>
      <w:r>
        <w:t>p</w:t>
      </w:r>
      <w:r w:rsidR="00475E04">
        <w:t xml:space="preserve">rimary </w:t>
      </w:r>
      <w:r>
        <w:t>c</w:t>
      </w:r>
      <w:r w:rsidR="00475E04">
        <w:t>are in Wales</w:t>
      </w:r>
      <w:r>
        <w:t xml:space="preserve">  is a</w:t>
      </w:r>
      <w:r w:rsidR="00475E04">
        <w:t xml:space="preserve">vailable from: </w:t>
      </w:r>
      <w:hyperlink r:id="rId17" w:history="1">
        <w:r w:rsidR="00475E04" w:rsidRPr="006E17B9">
          <w:rPr>
            <w:rStyle w:val="Hyperlink"/>
            <w:rFonts w:asciiTheme="minorHAnsi" w:hAnsiTheme="minorHAnsi" w:cstheme="minorBidi"/>
          </w:rPr>
          <w:t>http://www.primarycareone.wales.nhs.uk/occupational-therapists</w:t>
        </w:r>
      </w:hyperlink>
      <w:r w:rsidR="00475E04" w:rsidRPr="008374A6">
        <w:t xml:space="preserve"> (accessed 25/08/20)</w:t>
      </w:r>
    </w:p>
    <w:p w:rsidR="00475E04" w:rsidRDefault="00475E04" w:rsidP="0054072D">
      <w:pPr>
        <w:spacing w:after="0" w:line="240" w:lineRule="auto"/>
        <w:rPr>
          <w:color w:val="0000FF"/>
          <w:u w:val="single"/>
        </w:rPr>
      </w:pPr>
    </w:p>
    <w:p w:rsidR="008374A6" w:rsidRDefault="008374A6" w:rsidP="008374A6">
      <w:pPr>
        <w:spacing w:after="0" w:line="240" w:lineRule="auto"/>
        <w:rPr>
          <w:rFonts w:ascii="Arial" w:hAnsi="Arial" w:cs="Arial"/>
          <w:sz w:val="20"/>
          <w:szCs w:val="20"/>
        </w:rPr>
      </w:pPr>
      <w:r w:rsidRPr="008D225A">
        <w:rPr>
          <w:rFonts w:ascii="Arial" w:hAnsi="Arial" w:cs="Arial"/>
          <w:sz w:val="20"/>
          <w:szCs w:val="20"/>
        </w:rPr>
        <w:t>Royal College of Occupational Therapy (201</w:t>
      </w:r>
      <w:r>
        <w:rPr>
          <w:rFonts w:ascii="Arial" w:hAnsi="Arial" w:cs="Arial"/>
          <w:sz w:val="20"/>
          <w:szCs w:val="20"/>
        </w:rPr>
        <w:t>5</w:t>
      </w:r>
      <w:r w:rsidRPr="008D225A">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The Contribution of Occupational Therapy to</w:t>
      </w:r>
      <w:r w:rsidRPr="008374A6">
        <w:rPr>
          <w:rFonts w:ascii="Arial" w:hAnsi="Arial" w:cs="Arial"/>
          <w:sz w:val="20"/>
          <w:szCs w:val="20"/>
          <w:u w:val="single"/>
        </w:rPr>
        <w:t xml:space="preserve"> GP Practices</w:t>
      </w:r>
      <w:r>
        <w:rPr>
          <w:rFonts w:ascii="Arial" w:hAnsi="Arial" w:cs="Arial"/>
          <w:sz w:val="20"/>
          <w:szCs w:val="20"/>
          <w:u w:val="single"/>
        </w:rPr>
        <w:t xml:space="preserve"> </w:t>
      </w:r>
      <w:r w:rsidRPr="008374A6">
        <w:rPr>
          <w:rFonts w:ascii="Arial" w:hAnsi="Arial" w:cs="Arial"/>
          <w:sz w:val="20"/>
          <w:szCs w:val="20"/>
        </w:rPr>
        <w:t>London:</w:t>
      </w:r>
      <w:r>
        <w:rPr>
          <w:rFonts w:ascii="Arial" w:hAnsi="Arial" w:cs="Arial"/>
          <w:sz w:val="20"/>
          <w:szCs w:val="20"/>
        </w:rPr>
        <w:t xml:space="preserve"> RCOT available from </w:t>
      </w:r>
      <w:hyperlink r:id="rId18" w:history="1">
        <w:r w:rsidRPr="006E17B9">
          <w:rPr>
            <w:rStyle w:val="Hyperlink"/>
            <w:rFonts w:cs="Arial"/>
            <w:sz w:val="20"/>
            <w:szCs w:val="20"/>
          </w:rPr>
          <w:t>www.rcot.org.uk</w:t>
        </w:r>
      </w:hyperlink>
    </w:p>
    <w:p w:rsidR="009E4D4D" w:rsidRDefault="009E4D4D" w:rsidP="0054072D">
      <w:pPr>
        <w:spacing w:after="0" w:line="240" w:lineRule="auto"/>
        <w:rPr>
          <w:rFonts w:ascii="Arial" w:hAnsi="Arial" w:cs="Arial"/>
          <w:b/>
          <w:bCs/>
          <w:sz w:val="24"/>
          <w:szCs w:val="24"/>
        </w:rPr>
      </w:pPr>
    </w:p>
    <w:p w:rsidR="008D225A" w:rsidRDefault="008D225A" w:rsidP="0054072D">
      <w:pPr>
        <w:spacing w:after="0" w:line="240" w:lineRule="auto"/>
        <w:rPr>
          <w:rFonts w:ascii="Arial" w:hAnsi="Arial" w:cs="Arial"/>
          <w:sz w:val="20"/>
          <w:szCs w:val="20"/>
        </w:rPr>
      </w:pPr>
      <w:r w:rsidRPr="008D225A">
        <w:rPr>
          <w:rFonts w:ascii="Arial" w:hAnsi="Arial" w:cs="Arial"/>
          <w:sz w:val="20"/>
          <w:szCs w:val="20"/>
        </w:rPr>
        <w:t>Royal College of Occupational Therapy (2018)</w:t>
      </w:r>
      <w:r>
        <w:rPr>
          <w:rFonts w:ascii="Arial" w:hAnsi="Arial" w:cs="Arial"/>
          <w:sz w:val="20"/>
          <w:szCs w:val="20"/>
        </w:rPr>
        <w:t xml:space="preserve"> </w:t>
      </w:r>
      <w:r w:rsidRPr="008374A6">
        <w:rPr>
          <w:rFonts w:ascii="Arial" w:hAnsi="Arial" w:cs="Arial"/>
          <w:sz w:val="20"/>
          <w:szCs w:val="20"/>
          <w:u w:val="single"/>
        </w:rPr>
        <w:t>First point of contact for Occupational Therapy in GP Practices</w:t>
      </w:r>
      <w:r w:rsidR="008374A6">
        <w:rPr>
          <w:rFonts w:ascii="Arial" w:hAnsi="Arial" w:cs="Arial"/>
          <w:sz w:val="20"/>
          <w:szCs w:val="20"/>
          <w:u w:val="single"/>
        </w:rPr>
        <w:t xml:space="preserve"> </w:t>
      </w:r>
      <w:r w:rsidR="008374A6" w:rsidRPr="008374A6">
        <w:rPr>
          <w:rFonts w:ascii="Arial" w:hAnsi="Arial" w:cs="Arial"/>
          <w:sz w:val="20"/>
          <w:szCs w:val="20"/>
        </w:rPr>
        <w:t>London:</w:t>
      </w:r>
      <w:r w:rsidR="008374A6">
        <w:rPr>
          <w:rFonts w:ascii="Arial" w:hAnsi="Arial" w:cs="Arial"/>
          <w:sz w:val="20"/>
          <w:szCs w:val="20"/>
        </w:rPr>
        <w:t xml:space="preserve"> RCOT available from </w:t>
      </w:r>
      <w:hyperlink r:id="rId19" w:history="1">
        <w:r w:rsidR="008374A6" w:rsidRPr="006E17B9">
          <w:rPr>
            <w:rStyle w:val="Hyperlink"/>
            <w:rFonts w:cs="Arial"/>
            <w:sz w:val="20"/>
            <w:szCs w:val="20"/>
          </w:rPr>
          <w:t>www.rcot.org.uk</w:t>
        </w:r>
      </w:hyperlink>
    </w:p>
    <w:p w:rsidR="008374A6" w:rsidRPr="008374A6" w:rsidRDefault="008374A6" w:rsidP="0054072D">
      <w:pPr>
        <w:spacing w:after="0" w:line="240" w:lineRule="auto"/>
        <w:rPr>
          <w:rFonts w:ascii="Arial" w:hAnsi="Arial" w:cs="Arial"/>
          <w:sz w:val="20"/>
          <w:szCs w:val="20"/>
          <w:u w:val="single"/>
        </w:rPr>
      </w:pPr>
    </w:p>
    <w:p w:rsidR="008D225A" w:rsidRDefault="008D225A" w:rsidP="0054072D">
      <w:pPr>
        <w:spacing w:after="0" w:line="240" w:lineRule="auto"/>
        <w:rPr>
          <w:rFonts w:ascii="Arial" w:hAnsi="Arial" w:cs="Arial"/>
          <w:b/>
          <w:bCs/>
          <w:sz w:val="24"/>
          <w:szCs w:val="24"/>
        </w:rPr>
      </w:pPr>
    </w:p>
    <w:p w:rsidR="00E90293" w:rsidRDefault="00E90293" w:rsidP="0054072D">
      <w:pPr>
        <w:spacing w:after="0" w:line="240" w:lineRule="auto"/>
        <w:rPr>
          <w:rFonts w:ascii="Arial" w:hAnsi="Arial" w:cs="Arial"/>
          <w:sz w:val="24"/>
          <w:szCs w:val="24"/>
        </w:rPr>
      </w:pPr>
    </w:p>
    <w:p w:rsidR="001F132E" w:rsidRDefault="001F132E" w:rsidP="001F132E"/>
    <w:p w:rsidR="00626875" w:rsidRPr="00845E2E" w:rsidRDefault="00626875" w:rsidP="0054072D">
      <w:pPr>
        <w:spacing w:after="0" w:line="240" w:lineRule="auto"/>
        <w:rPr>
          <w:rFonts w:ascii="Arial" w:hAnsi="Arial" w:cs="Arial"/>
          <w:sz w:val="24"/>
          <w:szCs w:val="24"/>
        </w:rPr>
      </w:pPr>
    </w:p>
    <w:sectPr w:rsidR="00626875" w:rsidRPr="00845E2E" w:rsidSect="00845E2E">
      <w:footerReference w:type="even" r:id="rId20"/>
      <w:footerReference w:type="default" r:id="rId21"/>
      <w:type w:val="continuous"/>
      <w:pgSz w:w="11906" w:h="16838"/>
      <w:pgMar w:top="1418" w:right="1133"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CE" w:rsidRDefault="00D53ACE">
      <w:pPr>
        <w:spacing w:after="0" w:line="240" w:lineRule="auto"/>
      </w:pPr>
      <w:r>
        <w:separator/>
      </w:r>
    </w:p>
  </w:endnote>
  <w:endnote w:type="continuationSeparator" w:id="0">
    <w:p w:rsidR="00D53ACE" w:rsidRDefault="00D5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A6" w:rsidRDefault="008374A6" w:rsidP="004D22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74A6" w:rsidRDefault="00837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A6" w:rsidRDefault="008374A6" w:rsidP="004D2225">
    <w:pPr>
      <w:pStyle w:val="Footer"/>
      <w:framePr w:wrap="around" w:vAnchor="text" w:hAnchor="page" w:x="5275" w:y="-84"/>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03CDE">
      <w:rPr>
        <w:rStyle w:val="PageNumber"/>
        <w:noProof/>
      </w:rPr>
      <w:t>4</w:t>
    </w:r>
    <w:r>
      <w:rPr>
        <w:rStyle w:val="PageNumber"/>
      </w:rPr>
      <w:fldChar w:fldCharType="end"/>
    </w:r>
  </w:p>
  <w:p w:rsidR="008374A6" w:rsidRPr="00EB26B4" w:rsidRDefault="008374A6" w:rsidP="004D2225">
    <w:pPr>
      <w:pStyle w:val="Footer"/>
      <w:jc w:val="both"/>
      <w:rPr>
        <w:rFonts w:ascii="Arial" w:hAnsi="Arial" w:cs="Arial"/>
        <w:sz w:val="16"/>
        <w:szCs w:val="16"/>
      </w:rPr>
    </w:pPr>
    <w:r>
      <w:rPr>
        <w:noProof/>
      </w:rPr>
      <w:drawing>
        <wp:anchor distT="0" distB="0" distL="114300" distR="114300" simplePos="0" relativeHeight="251659264" behindDoc="0" locked="0" layoutInCell="1" allowOverlap="1" wp14:anchorId="5117E3D4" wp14:editId="1E0555B7">
          <wp:simplePos x="0" y="0"/>
          <wp:positionH relativeFrom="column">
            <wp:posOffset>-207128</wp:posOffset>
          </wp:positionH>
          <wp:positionV relativeFrom="paragraph">
            <wp:posOffset>42250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CE" w:rsidRDefault="00D53ACE">
      <w:pPr>
        <w:spacing w:after="0" w:line="240" w:lineRule="auto"/>
      </w:pPr>
      <w:r>
        <w:separator/>
      </w:r>
    </w:p>
  </w:footnote>
  <w:footnote w:type="continuationSeparator" w:id="0">
    <w:p w:rsidR="00D53ACE" w:rsidRDefault="00D53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01CD"/>
    <w:multiLevelType w:val="hybridMultilevel"/>
    <w:tmpl w:val="88BC0ADE"/>
    <w:lvl w:ilvl="0" w:tplc="38162A9A">
      <w:start w:val="1"/>
      <w:numFmt w:val="bullet"/>
      <w:lvlText w:val=""/>
      <w:lvlJc w:val="left"/>
      <w:pPr>
        <w:tabs>
          <w:tab w:val="num" w:pos="720"/>
        </w:tabs>
        <w:ind w:left="720" w:hanging="360"/>
      </w:pPr>
      <w:rPr>
        <w:rFonts w:ascii="Wingdings" w:hAnsi="Wingdings" w:hint="default"/>
      </w:rPr>
    </w:lvl>
    <w:lvl w:ilvl="1" w:tplc="9906E626" w:tentative="1">
      <w:start w:val="1"/>
      <w:numFmt w:val="bullet"/>
      <w:lvlText w:val=""/>
      <w:lvlJc w:val="left"/>
      <w:pPr>
        <w:tabs>
          <w:tab w:val="num" w:pos="1440"/>
        </w:tabs>
        <w:ind w:left="1440" w:hanging="360"/>
      </w:pPr>
      <w:rPr>
        <w:rFonts w:ascii="Wingdings" w:hAnsi="Wingdings" w:hint="default"/>
      </w:rPr>
    </w:lvl>
    <w:lvl w:ilvl="2" w:tplc="BC803420" w:tentative="1">
      <w:start w:val="1"/>
      <w:numFmt w:val="bullet"/>
      <w:lvlText w:val=""/>
      <w:lvlJc w:val="left"/>
      <w:pPr>
        <w:tabs>
          <w:tab w:val="num" w:pos="2160"/>
        </w:tabs>
        <w:ind w:left="2160" w:hanging="360"/>
      </w:pPr>
      <w:rPr>
        <w:rFonts w:ascii="Wingdings" w:hAnsi="Wingdings" w:hint="default"/>
      </w:rPr>
    </w:lvl>
    <w:lvl w:ilvl="3" w:tplc="1A5C885C" w:tentative="1">
      <w:start w:val="1"/>
      <w:numFmt w:val="bullet"/>
      <w:lvlText w:val=""/>
      <w:lvlJc w:val="left"/>
      <w:pPr>
        <w:tabs>
          <w:tab w:val="num" w:pos="2880"/>
        </w:tabs>
        <w:ind w:left="2880" w:hanging="360"/>
      </w:pPr>
      <w:rPr>
        <w:rFonts w:ascii="Wingdings" w:hAnsi="Wingdings" w:hint="default"/>
      </w:rPr>
    </w:lvl>
    <w:lvl w:ilvl="4" w:tplc="9CBC615C" w:tentative="1">
      <w:start w:val="1"/>
      <w:numFmt w:val="bullet"/>
      <w:lvlText w:val=""/>
      <w:lvlJc w:val="left"/>
      <w:pPr>
        <w:tabs>
          <w:tab w:val="num" w:pos="3600"/>
        </w:tabs>
        <w:ind w:left="3600" w:hanging="360"/>
      </w:pPr>
      <w:rPr>
        <w:rFonts w:ascii="Wingdings" w:hAnsi="Wingdings" w:hint="default"/>
      </w:rPr>
    </w:lvl>
    <w:lvl w:ilvl="5" w:tplc="A56CC268" w:tentative="1">
      <w:start w:val="1"/>
      <w:numFmt w:val="bullet"/>
      <w:lvlText w:val=""/>
      <w:lvlJc w:val="left"/>
      <w:pPr>
        <w:tabs>
          <w:tab w:val="num" w:pos="4320"/>
        </w:tabs>
        <w:ind w:left="4320" w:hanging="360"/>
      </w:pPr>
      <w:rPr>
        <w:rFonts w:ascii="Wingdings" w:hAnsi="Wingdings" w:hint="default"/>
      </w:rPr>
    </w:lvl>
    <w:lvl w:ilvl="6" w:tplc="AECC3C50" w:tentative="1">
      <w:start w:val="1"/>
      <w:numFmt w:val="bullet"/>
      <w:lvlText w:val=""/>
      <w:lvlJc w:val="left"/>
      <w:pPr>
        <w:tabs>
          <w:tab w:val="num" w:pos="5040"/>
        </w:tabs>
        <w:ind w:left="5040" w:hanging="360"/>
      </w:pPr>
      <w:rPr>
        <w:rFonts w:ascii="Wingdings" w:hAnsi="Wingdings" w:hint="default"/>
      </w:rPr>
    </w:lvl>
    <w:lvl w:ilvl="7" w:tplc="34D89C82" w:tentative="1">
      <w:start w:val="1"/>
      <w:numFmt w:val="bullet"/>
      <w:lvlText w:val=""/>
      <w:lvlJc w:val="left"/>
      <w:pPr>
        <w:tabs>
          <w:tab w:val="num" w:pos="5760"/>
        </w:tabs>
        <w:ind w:left="5760" w:hanging="360"/>
      </w:pPr>
      <w:rPr>
        <w:rFonts w:ascii="Wingdings" w:hAnsi="Wingdings" w:hint="default"/>
      </w:rPr>
    </w:lvl>
    <w:lvl w:ilvl="8" w:tplc="B2E8E64C" w:tentative="1">
      <w:start w:val="1"/>
      <w:numFmt w:val="bullet"/>
      <w:lvlText w:val=""/>
      <w:lvlJc w:val="left"/>
      <w:pPr>
        <w:tabs>
          <w:tab w:val="num" w:pos="6480"/>
        </w:tabs>
        <w:ind w:left="6480" w:hanging="360"/>
      </w:pPr>
      <w:rPr>
        <w:rFonts w:ascii="Wingdings" w:hAnsi="Wingdings" w:hint="default"/>
      </w:rPr>
    </w:lvl>
  </w:abstractNum>
  <w:abstractNum w:abstractNumId="1">
    <w:nsid w:val="3F7103CC"/>
    <w:multiLevelType w:val="hybridMultilevel"/>
    <w:tmpl w:val="C00A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E77F4D"/>
    <w:multiLevelType w:val="multilevel"/>
    <w:tmpl w:val="1852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5D0C68"/>
    <w:multiLevelType w:val="hybridMultilevel"/>
    <w:tmpl w:val="3C98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FE625A"/>
    <w:multiLevelType w:val="hybridMultilevel"/>
    <w:tmpl w:val="CD805D9C"/>
    <w:lvl w:ilvl="0" w:tplc="BC0A6004">
      <w:start w:val="1"/>
      <w:numFmt w:val="bullet"/>
      <w:lvlText w:val=""/>
      <w:lvlJc w:val="left"/>
      <w:pPr>
        <w:tabs>
          <w:tab w:val="num" w:pos="720"/>
        </w:tabs>
        <w:ind w:left="720" w:hanging="360"/>
      </w:pPr>
      <w:rPr>
        <w:rFonts w:ascii="Wingdings" w:hAnsi="Wingdings" w:hint="default"/>
      </w:rPr>
    </w:lvl>
    <w:lvl w:ilvl="1" w:tplc="E81AF5A0" w:tentative="1">
      <w:start w:val="1"/>
      <w:numFmt w:val="bullet"/>
      <w:lvlText w:val=""/>
      <w:lvlJc w:val="left"/>
      <w:pPr>
        <w:tabs>
          <w:tab w:val="num" w:pos="1440"/>
        </w:tabs>
        <w:ind w:left="1440" w:hanging="360"/>
      </w:pPr>
      <w:rPr>
        <w:rFonts w:ascii="Wingdings" w:hAnsi="Wingdings" w:hint="default"/>
      </w:rPr>
    </w:lvl>
    <w:lvl w:ilvl="2" w:tplc="A9DE220A" w:tentative="1">
      <w:start w:val="1"/>
      <w:numFmt w:val="bullet"/>
      <w:lvlText w:val=""/>
      <w:lvlJc w:val="left"/>
      <w:pPr>
        <w:tabs>
          <w:tab w:val="num" w:pos="2160"/>
        </w:tabs>
        <w:ind w:left="2160" w:hanging="360"/>
      </w:pPr>
      <w:rPr>
        <w:rFonts w:ascii="Wingdings" w:hAnsi="Wingdings" w:hint="default"/>
      </w:rPr>
    </w:lvl>
    <w:lvl w:ilvl="3" w:tplc="4D460562" w:tentative="1">
      <w:start w:val="1"/>
      <w:numFmt w:val="bullet"/>
      <w:lvlText w:val=""/>
      <w:lvlJc w:val="left"/>
      <w:pPr>
        <w:tabs>
          <w:tab w:val="num" w:pos="2880"/>
        </w:tabs>
        <w:ind w:left="2880" w:hanging="360"/>
      </w:pPr>
      <w:rPr>
        <w:rFonts w:ascii="Wingdings" w:hAnsi="Wingdings" w:hint="default"/>
      </w:rPr>
    </w:lvl>
    <w:lvl w:ilvl="4" w:tplc="E2BAAC8A" w:tentative="1">
      <w:start w:val="1"/>
      <w:numFmt w:val="bullet"/>
      <w:lvlText w:val=""/>
      <w:lvlJc w:val="left"/>
      <w:pPr>
        <w:tabs>
          <w:tab w:val="num" w:pos="3600"/>
        </w:tabs>
        <w:ind w:left="3600" w:hanging="360"/>
      </w:pPr>
      <w:rPr>
        <w:rFonts w:ascii="Wingdings" w:hAnsi="Wingdings" w:hint="default"/>
      </w:rPr>
    </w:lvl>
    <w:lvl w:ilvl="5" w:tplc="BBECFA46" w:tentative="1">
      <w:start w:val="1"/>
      <w:numFmt w:val="bullet"/>
      <w:lvlText w:val=""/>
      <w:lvlJc w:val="left"/>
      <w:pPr>
        <w:tabs>
          <w:tab w:val="num" w:pos="4320"/>
        </w:tabs>
        <w:ind w:left="4320" w:hanging="360"/>
      </w:pPr>
      <w:rPr>
        <w:rFonts w:ascii="Wingdings" w:hAnsi="Wingdings" w:hint="default"/>
      </w:rPr>
    </w:lvl>
    <w:lvl w:ilvl="6" w:tplc="F08A8C3A" w:tentative="1">
      <w:start w:val="1"/>
      <w:numFmt w:val="bullet"/>
      <w:lvlText w:val=""/>
      <w:lvlJc w:val="left"/>
      <w:pPr>
        <w:tabs>
          <w:tab w:val="num" w:pos="5040"/>
        </w:tabs>
        <w:ind w:left="5040" w:hanging="360"/>
      </w:pPr>
      <w:rPr>
        <w:rFonts w:ascii="Wingdings" w:hAnsi="Wingdings" w:hint="default"/>
      </w:rPr>
    </w:lvl>
    <w:lvl w:ilvl="7" w:tplc="32DECE0C" w:tentative="1">
      <w:start w:val="1"/>
      <w:numFmt w:val="bullet"/>
      <w:lvlText w:val=""/>
      <w:lvlJc w:val="left"/>
      <w:pPr>
        <w:tabs>
          <w:tab w:val="num" w:pos="5760"/>
        </w:tabs>
        <w:ind w:left="5760" w:hanging="360"/>
      </w:pPr>
      <w:rPr>
        <w:rFonts w:ascii="Wingdings" w:hAnsi="Wingdings" w:hint="default"/>
      </w:rPr>
    </w:lvl>
    <w:lvl w:ilvl="8" w:tplc="556811D4" w:tentative="1">
      <w:start w:val="1"/>
      <w:numFmt w:val="bullet"/>
      <w:lvlText w:val=""/>
      <w:lvlJc w:val="left"/>
      <w:pPr>
        <w:tabs>
          <w:tab w:val="num" w:pos="6480"/>
        </w:tabs>
        <w:ind w:left="6480" w:hanging="360"/>
      </w:pPr>
      <w:rPr>
        <w:rFonts w:ascii="Wingdings" w:hAnsi="Wingdings" w:hint="default"/>
      </w:rPr>
    </w:lvl>
  </w:abstractNum>
  <w:abstractNum w:abstractNumId="5">
    <w:nsid w:val="6EBF5E08"/>
    <w:multiLevelType w:val="hybridMultilevel"/>
    <w:tmpl w:val="5C6C21DA"/>
    <w:lvl w:ilvl="0" w:tplc="2D94D774">
      <w:start w:val="1"/>
      <w:numFmt w:val="bullet"/>
      <w:lvlText w:val=""/>
      <w:lvlJc w:val="left"/>
      <w:pPr>
        <w:tabs>
          <w:tab w:val="num" w:pos="720"/>
        </w:tabs>
        <w:ind w:left="720" w:hanging="360"/>
      </w:pPr>
      <w:rPr>
        <w:rFonts w:ascii="Wingdings" w:hAnsi="Wingdings" w:hint="default"/>
      </w:rPr>
    </w:lvl>
    <w:lvl w:ilvl="1" w:tplc="1BE6CEDA" w:tentative="1">
      <w:start w:val="1"/>
      <w:numFmt w:val="bullet"/>
      <w:lvlText w:val=""/>
      <w:lvlJc w:val="left"/>
      <w:pPr>
        <w:tabs>
          <w:tab w:val="num" w:pos="1440"/>
        </w:tabs>
        <w:ind w:left="1440" w:hanging="360"/>
      </w:pPr>
      <w:rPr>
        <w:rFonts w:ascii="Wingdings" w:hAnsi="Wingdings" w:hint="default"/>
      </w:rPr>
    </w:lvl>
    <w:lvl w:ilvl="2" w:tplc="F7086F5E" w:tentative="1">
      <w:start w:val="1"/>
      <w:numFmt w:val="bullet"/>
      <w:lvlText w:val=""/>
      <w:lvlJc w:val="left"/>
      <w:pPr>
        <w:tabs>
          <w:tab w:val="num" w:pos="2160"/>
        </w:tabs>
        <w:ind w:left="2160" w:hanging="360"/>
      </w:pPr>
      <w:rPr>
        <w:rFonts w:ascii="Wingdings" w:hAnsi="Wingdings" w:hint="default"/>
      </w:rPr>
    </w:lvl>
    <w:lvl w:ilvl="3" w:tplc="E2346082" w:tentative="1">
      <w:start w:val="1"/>
      <w:numFmt w:val="bullet"/>
      <w:lvlText w:val=""/>
      <w:lvlJc w:val="left"/>
      <w:pPr>
        <w:tabs>
          <w:tab w:val="num" w:pos="2880"/>
        </w:tabs>
        <w:ind w:left="2880" w:hanging="360"/>
      </w:pPr>
      <w:rPr>
        <w:rFonts w:ascii="Wingdings" w:hAnsi="Wingdings" w:hint="default"/>
      </w:rPr>
    </w:lvl>
    <w:lvl w:ilvl="4" w:tplc="B9269E38" w:tentative="1">
      <w:start w:val="1"/>
      <w:numFmt w:val="bullet"/>
      <w:lvlText w:val=""/>
      <w:lvlJc w:val="left"/>
      <w:pPr>
        <w:tabs>
          <w:tab w:val="num" w:pos="3600"/>
        </w:tabs>
        <w:ind w:left="3600" w:hanging="360"/>
      </w:pPr>
      <w:rPr>
        <w:rFonts w:ascii="Wingdings" w:hAnsi="Wingdings" w:hint="default"/>
      </w:rPr>
    </w:lvl>
    <w:lvl w:ilvl="5" w:tplc="649C4F46" w:tentative="1">
      <w:start w:val="1"/>
      <w:numFmt w:val="bullet"/>
      <w:lvlText w:val=""/>
      <w:lvlJc w:val="left"/>
      <w:pPr>
        <w:tabs>
          <w:tab w:val="num" w:pos="4320"/>
        </w:tabs>
        <w:ind w:left="4320" w:hanging="360"/>
      </w:pPr>
      <w:rPr>
        <w:rFonts w:ascii="Wingdings" w:hAnsi="Wingdings" w:hint="default"/>
      </w:rPr>
    </w:lvl>
    <w:lvl w:ilvl="6" w:tplc="BC2675BA" w:tentative="1">
      <w:start w:val="1"/>
      <w:numFmt w:val="bullet"/>
      <w:lvlText w:val=""/>
      <w:lvlJc w:val="left"/>
      <w:pPr>
        <w:tabs>
          <w:tab w:val="num" w:pos="5040"/>
        </w:tabs>
        <w:ind w:left="5040" w:hanging="360"/>
      </w:pPr>
      <w:rPr>
        <w:rFonts w:ascii="Wingdings" w:hAnsi="Wingdings" w:hint="default"/>
      </w:rPr>
    </w:lvl>
    <w:lvl w:ilvl="7" w:tplc="05DE8370" w:tentative="1">
      <w:start w:val="1"/>
      <w:numFmt w:val="bullet"/>
      <w:lvlText w:val=""/>
      <w:lvlJc w:val="left"/>
      <w:pPr>
        <w:tabs>
          <w:tab w:val="num" w:pos="5760"/>
        </w:tabs>
        <w:ind w:left="5760" w:hanging="360"/>
      </w:pPr>
      <w:rPr>
        <w:rFonts w:ascii="Wingdings" w:hAnsi="Wingdings" w:hint="default"/>
      </w:rPr>
    </w:lvl>
    <w:lvl w:ilvl="8" w:tplc="BD948F2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C3"/>
    <w:rsid w:val="000002BC"/>
    <w:rsid w:val="00000366"/>
    <w:rsid w:val="00004E70"/>
    <w:rsid w:val="000070C2"/>
    <w:rsid w:val="00011065"/>
    <w:rsid w:val="0001216A"/>
    <w:rsid w:val="000132AB"/>
    <w:rsid w:val="00025F10"/>
    <w:rsid w:val="00030D6F"/>
    <w:rsid w:val="00034EB6"/>
    <w:rsid w:val="00036595"/>
    <w:rsid w:val="000504F5"/>
    <w:rsid w:val="00060F69"/>
    <w:rsid w:val="0006152A"/>
    <w:rsid w:val="00061F84"/>
    <w:rsid w:val="00063ACF"/>
    <w:rsid w:val="000718D2"/>
    <w:rsid w:val="00086A70"/>
    <w:rsid w:val="000942C5"/>
    <w:rsid w:val="000A0257"/>
    <w:rsid w:val="000A6CD2"/>
    <w:rsid w:val="000B19BE"/>
    <w:rsid w:val="000B3113"/>
    <w:rsid w:val="000B4D6F"/>
    <w:rsid w:val="000C33B4"/>
    <w:rsid w:val="000C41E1"/>
    <w:rsid w:val="000D087B"/>
    <w:rsid w:val="000D6418"/>
    <w:rsid w:val="000E19ED"/>
    <w:rsid w:val="000E4A10"/>
    <w:rsid w:val="000F5A30"/>
    <w:rsid w:val="00101434"/>
    <w:rsid w:val="00103CDE"/>
    <w:rsid w:val="00104D69"/>
    <w:rsid w:val="00114A2E"/>
    <w:rsid w:val="00115B0C"/>
    <w:rsid w:val="001167B2"/>
    <w:rsid w:val="0012100E"/>
    <w:rsid w:val="0012115E"/>
    <w:rsid w:val="00121965"/>
    <w:rsid w:val="00122406"/>
    <w:rsid w:val="00122ED5"/>
    <w:rsid w:val="001244C9"/>
    <w:rsid w:val="001248BB"/>
    <w:rsid w:val="001271C4"/>
    <w:rsid w:val="0013139B"/>
    <w:rsid w:val="0013423D"/>
    <w:rsid w:val="00140F24"/>
    <w:rsid w:val="00143A87"/>
    <w:rsid w:val="001520F0"/>
    <w:rsid w:val="00153DD2"/>
    <w:rsid w:val="001559B0"/>
    <w:rsid w:val="00157678"/>
    <w:rsid w:val="001620C5"/>
    <w:rsid w:val="00163B2E"/>
    <w:rsid w:val="001670F8"/>
    <w:rsid w:val="00180931"/>
    <w:rsid w:val="00185DF6"/>
    <w:rsid w:val="00193BBA"/>
    <w:rsid w:val="001A6194"/>
    <w:rsid w:val="001A66F9"/>
    <w:rsid w:val="001B249F"/>
    <w:rsid w:val="001B2C09"/>
    <w:rsid w:val="001B4E5F"/>
    <w:rsid w:val="001B6FC9"/>
    <w:rsid w:val="001B762B"/>
    <w:rsid w:val="001B7846"/>
    <w:rsid w:val="001B7D26"/>
    <w:rsid w:val="001C2371"/>
    <w:rsid w:val="001C532D"/>
    <w:rsid w:val="001D79AF"/>
    <w:rsid w:val="001E2BB5"/>
    <w:rsid w:val="001F132E"/>
    <w:rsid w:val="001F2C5D"/>
    <w:rsid w:val="001F3C3F"/>
    <w:rsid w:val="00200766"/>
    <w:rsid w:val="002030E9"/>
    <w:rsid w:val="00203AA0"/>
    <w:rsid w:val="00205203"/>
    <w:rsid w:val="00210AD7"/>
    <w:rsid w:val="00212D5B"/>
    <w:rsid w:val="002142C4"/>
    <w:rsid w:val="00214B0E"/>
    <w:rsid w:val="00227E83"/>
    <w:rsid w:val="00227FAC"/>
    <w:rsid w:val="00233A63"/>
    <w:rsid w:val="00240509"/>
    <w:rsid w:val="00242B41"/>
    <w:rsid w:val="0024483D"/>
    <w:rsid w:val="00251315"/>
    <w:rsid w:val="00251DBF"/>
    <w:rsid w:val="00253FA1"/>
    <w:rsid w:val="00255A0D"/>
    <w:rsid w:val="00262B98"/>
    <w:rsid w:val="00266B10"/>
    <w:rsid w:val="00266BE6"/>
    <w:rsid w:val="00267091"/>
    <w:rsid w:val="00270539"/>
    <w:rsid w:val="0027331C"/>
    <w:rsid w:val="00274FA3"/>
    <w:rsid w:val="00277398"/>
    <w:rsid w:val="002837AC"/>
    <w:rsid w:val="00284728"/>
    <w:rsid w:val="00296779"/>
    <w:rsid w:val="002A4010"/>
    <w:rsid w:val="002A469C"/>
    <w:rsid w:val="002A62A8"/>
    <w:rsid w:val="002A7F2C"/>
    <w:rsid w:val="002B73FE"/>
    <w:rsid w:val="002C2A9A"/>
    <w:rsid w:val="002C53CF"/>
    <w:rsid w:val="002C6A3F"/>
    <w:rsid w:val="002D4F4F"/>
    <w:rsid w:val="002D5058"/>
    <w:rsid w:val="002E174D"/>
    <w:rsid w:val="002E6634"/>
    <w:rsid w:val="002F0542"/>
    <w:rsid w:val="002F056F"/>
    <w:rsid w:val="002F749C"/>
    <w:rsid w:val="003075B2"/>
    <w:rsid w:val="00312BEC"/>
    <w:rsid w:val="00320C79"/>
    <w:rsid w:val="00321A3F"/>
    <w:rsid w:val="00344A6A"/>
    <w:rsid w:val="00346D14"/>
    <w:rsid w:val="00356684"/>
    <w:rsid w:val="0036236F"/>
    <w:rsid w:val="003640EC"/>
    <w:rsid w:val="003663AE"/>
    <w:rsid w:val="00366FE0"/>
    <w:rsid w:val="00393DCE"/>
    <w:rsid w:val="00394E69"/>
    <w:rsid w:val="003A03E3"/>
    <w:rsid w:val="003A4EAF"/>
    <w:rsid w:val="003A6461"/>
    <w:rsid w:val="003B3774"/>
    <w:rsid w:val="003B4230"/>
    <w:rsid w:val="003B432B"/>
    <w:rsid w:val="003B4415"/>
    <w:rsid w:val="003C131E"/>
    <w:rsid w:val="003C5082"/>
    <w:rsid w:val="003D599C"/>
    <w:rsid w:val="003D6F6D"/>
    <w:rsid w:val="003E26DA"/>
    <w:rsid w:val="003E5BA3"/>
    <w:rsid w:val="003E6A8A"/>
    <w:rsid w:val="003F33C2"/>
    <w:rsid w:val="003F6AF2"/>
    <w:rsid w:val="00400B4C"/>
    <w:rsid w:val="004068BD"/>
    <w:rsid w:val="004107B4"/>
    <w:rsid w:val="00422869"/>
    <w:rsid w:val="00423F50"/>
    <w:rsid w:val="00427176"/>
    <w:rsid w:val="004274FA"/>
    <w:rsid w:val="00427CC4"/>
    <w:rsid w:val="00427E3F"/>
    <w:rsid w:val="00430390"/>
    <w:rsid w:val="00431CA8"/>
    <w:rsid w:val="004333DC"/>
    <w:rsid w:val="00437C94"/>
    <w:rsid w:val="0044255C"/>
    <w:rsid w:val="00442701"/>
    <w:rsid w:val="004452A5"/>
    <w:rsid w:val="004476D5"/>
    <w:rsid w:val="00451DDD"/>
    <w:rsid w:val="00452D00"/>
    <w:rsid w:val="00452F8B"/>
    <w:rsid w:val="00455A63"/>
    <w:rsid w:val="00457511"/>
    <w:rsid w:val="00461627"/>
    <w:rsid w:val="00461F1C"/>
    <w:rsid w:val="0046281A"/>
    <w:rsid w:val="00464693"/>
    <w:rsid w:val="004700F3"/>
    <w:rsid w:val="00474730"/>
    <w:rsid w:val="00475E04"/>
    <w:rsid w:val="00476E8D"/>
    <w:rsid w:val="00480030"/>
    <w:rsid w:val="00481544"/>
    <w:rsid w:val="00481CAC"/>
    <w:rsid w:val="004829F3"/>
    <w:rsid w:val="004907CB"/>
    <w:rsid w:val="00493957"/>
    <w:rsid w:val="0049718A"/>
    <w:rsid w:val="00497FAB"/>
    <w:rsid w:val="004A26AD"/>
    <w:rsid w:val="004A326D"/>
    <w:rsid w:val="004A5B7E"/>
    <w:rsid w:val="004A6798"/>
    <w:rsid w:val="004B1043"/>
    <w:rsid w:val="004B3928"/>
    <w:rsid w:val="004B751A"/>
    <w:rsid w:val="004D16AF"/>
    <w:rsid w:val="004D2033"/>
    <w:rsid w:val="004D2225"/>
    <w:rsid w:val="004D2A75"/>
    <w:rsid w:val="004D2E8F"/>
    <w:rsid w:val="004D3DAE"/>
    <w:rsid w:val="004D4138"/>
    <w:rsid w:val="004D450D"/>
    <w:rsid w:val="004D7D04"/>
    <w:rsid w:val="004E567B"/>
    <w:rsid w:val="004F1D14"/>
    <w:rsid w:val="004F38DE"/>
    <w:rsid w:val="004F49FF"/>
    <w:rsid w:val="004F640F"/>
    <w:rsid w:val="00503D8C"/>
    <w:rsid w:val="00513197"/>
    <w:rsid w:val="0051533D"/>
    <w:rsid w:val="00516477"/>
    <w:rsid w:val="00517542"/>
    <w:rsid w:val="005234BF"/>
    <w:rsid w:val="005272F6"/>
    <w:rsid w:val="00530665"/>
    <w:rsid w:val="0054072D"/>
    <w:rsid w:val="0054243B"/>
    <w:rsid w:val="00543ECA"/>
    <w:rsid w:val="0054475C"/>
    <w:rsid w:val="005460D7"/>
    <w:rsid w:val="00552E70"/>
    <w:rsid w:val="00557EF7"/>
    <w:rsid w:val="00564708"/>
    <w:rsid w:val="00574200"/>
    <w:rsid w:val="00580779"/>
    <w:rsid w:val="00580B0F"/>
    <w:rsid w:val="00583DF6"/>
    <w:rsid w:val="00584CB4"/>
    <w:rsid w:val="0059526E"/>
    <w:rsid w:val="005962BF"/>
    <w:rsid w:val="005A077E"/>
    <w:rsid w:val="005A37FB"/>
    <w:rsid w:val="005B07C5"/>
    <w:rsid w:val="005B581C"/>
    <w:rsid w:val="005C2185"/>
    <w:rsid w:val="005C3F4A"/>
    <w:rsid w:val="005D28F6"/>
    <w:rsid w:val="005D4E06"/>
    <w:rsid w:val="005E0EE1"/>
    <w:rsid w:val="005F2522"/>
    <w:rsid w:val="005F3C1D"/>
    <w:rsid w:val="005F596A"/>
    <w:rsid w:val="00601542"/>
    <w:rsid w:val="006036A8"/>
    <w:rsid w:val="00606CD6"/>
    <w:rsid w:val="006127B3"/>
    <w:rsid w:val="00612DE1"/>
    <w:rsid w:val="0061472B"/>
    <w:rsid w:val="006168FF"/>
    <w:rsid w:val="0062010B"/>
    <w:rsid w:val="00623C36"/>
    <w:rsid w:val="00626875"/>
    <w:rsid w:val="00627CF5"/>
    <w:rsid w:val="00627E9F"/>
    <w:rsid w:val="00641390"/>
    <w:rsid w:val="00643325"/>
    <w:rsid w:val="0064384B"/>
    <w:rsid w:val="0064749F"/>
    <w:rsid w:val="006478B3"/>
    <w:rsid w:val="00652A8F"/>
    <w:rsid w:val="006571AF"/>
    <w:rsid w:val="00657423"/>
    <w:rsid w:val="00661B8E"/>
    <w:rsid w:val="00667048"/>
    <w:rsid w:val="00667CC7"/>
    <w:rsid w:val="00671EA0"/>
    <w:rsid w:val="0067414C"/>
    <w:rsid w:val="00680272"/>
    <w:rsid w:val="00681E04"/>
    <w:rsid w:val="00685E2C"/>
    <w:rsid w:val="00687EEE"/>
    <w:rsid w:val="00693410"/>
    <w:rsid w:val="006A3BDC"/>
    <w:rsid w:val="006A5A81"/>
    <w:rsid w:val="006A6525"/>
    <w:rsid w:val="006A7355"/>
    <w:rsid w:val="006B1ACE"/>
    <w:rsid w:val="006C0C85"/>
    <w:rsid w:val="006D1C5A"/>
    <w:rsid w:val="006D4102"/>
    <w:rsid w:val="006D4173"/>
    <w:rsid w:val="006D741E"/>
    <w:rsid w:val="006E24B4"/>
    <w:rsid w:val="006E2FFA"/>
    <w:rsid w:val="006E350B"/>
    <w:rsid w:val="006F1A2D"/>
    <w:rsid w:val="00700682"/>
    <w:rsid w:val="007016A4"/>
    <w:rsid w:val="0070227A"/>
    <w:rsid w:val="00702808"/>
    <w:rsid w:val="00702C22"/>
    <w:rsid w:val="007038B6"/>
    <w:rsid w:val="00706701"/>
    <w:rsid w:val="00707F1C"/>
    <w:rsid w:val="0071445A"/>
    <w:rsid w:val="00720E93"/>
    <w:rsid w:val="00722FA1"/>
    <w:rsid w:val="00731495"/>
    <w:rsid w:val="0073475E"/>
    <w:rsid w:val="0073576B"/>
    <w:rsid w:val="0073623C"/>
    <w:rsid w:val="00744606"/>
    <w:rsid w:val="00745421"/>
    <w:rsid w:val="00754D3B"/>
    <w:rsid w:val="00761C07"/>
    <w:rsid w:val="00761D38"/>
    <w:rsid w:val="00763CE1"/>
    <w:rsid w:val="007709A1"/>
    <w:rsid w:val="0077732C"/>
    <w:rsid w:val="00777990"/>
    <w:rsid w:val="007811B9"/>
    <w:rsid w:val="00781229"/>
    <w:rsid w:val="00781627"/>
    <w:rsid w:val="00781D5F"/>
    <w:rsid w:val="00791696"/>
    <w:rsid w:val="00791F77"/>
    <w:rsid w:val="00793531"/>
    <w:rsid w:val="007953FE"/>
    <w:rsid w:val="007A2EFC"/>
    <w:rsid w:val="007A7AD6"/>
    <w:rsid w:val="007B000D"/>
    <w:rsid w:val="007B305D"/>
    <w:rsid w:val="007B5532"/>
    <w:rsid w:val="007C04E6"/>
    <w:rsid w:val="007C18D6"/>
    <w:rsid w:val="007D1B38"/>
    <w:rsid w:val="007D36D5"/>
    <w:rsid w:val="007D699B"/>
    <w:rsid w:val="007E0E18"/>
    <w:rsid w:val="007E35F0"/>
    <w:rsid w:val="007E4016"/>
    <w:rsid w:val="007E4D1D"/>
    <w:rsid w:val="007E7218"/>
    <w:rsid w:val="007E79F9"/>
    <w:rsid w:val="007F5CD3"/>
    <w:rsid w:val="007F6616"/>
    <w:rsid w:val="007F7C80"/>
    <w:rsid w:val="0080006C"/>
    <w:rsid w:val="00800E25"/>
    <w:rsid w:val="008059C3"/>
    <w:rsid w:val="0081165A"/>
    <w:rsid w:val="008118DF"/>
    <w:rsid w:val="0081284B"/>
    <w:rsid w:val="008134DB"/>
    <w:rsid w:val="00820FDA"/>
    <w:rsid w:val="008271E4"/>
    <w:rsid w:val="00832D29"/>
    <w:rsid w:val="00833E54"/>
    <w:rsid w:val="008374A6"/>
    <w:rsid w:val="008409AF"/>
    <w:rsid w:val="0084210F"/>
    <w:rsid w:val="00845E2E"/>
    <w:rsid w:val="00847061"/>
    <w:rsid w:val="00855F21"/>
    <w:rsid w:val="008574C4"/>
    <w:rsid w:val="008642C2"/>
    <w:rsid w:val="00867C95"/>
    <w:rsid w:val="00870BF2"/>
    <w:rsid w:val="00875F24"/>
    <w:rsid w:val="008764C3"/>
    <w:rsid w:val="00883791"/>
    <w:rsid w:val="00884D5C"/>
    <w:rsid w:val="00884F75"/>
    <w:rsid w:val="008A1306"/>
    <w:rsid w:val="008A3EF9"/>
    <w:rsid w:val="008B3AD2"/>
    <w:rsid w:val="008B48CA"/>
    <w:rsid w:val="008C6C55"/>
    <w:rsid w:val="008D225A"/>
    <w:rsid w:val="008D4EBD"/>
    <w:rsid w:val="008D5201"/>
    <w:rsid w:val="008E2435"/>
    <w:rsid w:val="008E5893"/>
    <w:rsid w:val="008E6450"/>
    <w:rsid w:val="009034A5"/>
    <w:rsid w:val="00907F3A"/>
    <w:rsid w:val="00911409"/>
    <w:rsid w:val="00911EC2"/>
    <w:rsid w:val="00920383"/>
    <w:rsid w:val="00924DE6"/>
    <w:rsid w:val="00925916"/>
    <w:rsid w:val="009276C3"/>
    <w:rsid w:val="009345BE"/>
    <w:rsid w:val="009429BC"/>
    <w:rsid w:val="00952BFF"/>
    <w:rsid w:val="00953248"/>
    <w:rsid w:val="0096013C"/>
    <w:rsid w:val="00961C34"/>
    <w:rsid w:val="009630CC"/>
    <w:rsid w:val="009730B5"/>
    <w:rsid w:val="0098554D"/>
    <w:rsid w:val="00991680"/>
    <w:rsid w:val="00992B51"/>
    <w:rsid w:val="00995B0A"/>
    <w:rsid w:val="009A184D"/>
    <w:rsid w:val="009A2091"/>
    <w:rsid w:val="009A346C"/>
    <w:rsid w:val="009A6919"/>
    <w:rsid w:val="009A6C15"/>
    <w:rsid w:val="009A6F86"/>
    <w:rsid w:val="009B1A5C"/>
    <w:rsid w:val="009B4D1D"/>
    <w:rsid w:val="009B6F19"/>
    <w:rsid w:val="009B7009"/>
    <w:rsid w:val="009C6EFF"/>
    <w:rsid w:val="009D34D4"/>
    <w:rsid w:val="009D3A0C"/>
    <w:rsid w:val="009E1682"/>
    <w:rsid w:val="009E24B3"/>
    <w:rsid w:val="009E4D4D"/>
    <w:rsid w:val="009F1BB0"/>
    <w:rsid w:val="009F387C"/>
    <w:rsid w:val="009F4746"/>
    <w:rsid w:val="009F59C9"/>
    <w:rsid w:val="009F6795"/>
    <w:rsid w:val="00A005E3"/>
    <w:rsid w:val="00A065F7"/>
    <w:rsid w:val="00A07ABC"/>
    <w:rsid w:val="00A11D3B"/>
    <w:rsid w:val="00A22F3A"/>
    <w:rsid w:val="00A23648"/>
    <w:rsid w:val="00A24149"/>
    <w:rsid w:val="00A2459F"/>
    <w:rsid w:val="00A30534"/>
    <w:rsid w:val="00A3161B"/>
    <w:rsid w:val="00A41C30"/>
    <w:rsid w:val="00A4348D"/>
    <w:rsid w:val="00A434A1"/>
    <w:rsid w:val="00A54D71"/>
    <w:rsid w:val="00A56E62"/>
    <w:rsid w:val="00A61F98"/>
    <w:rsid w:val="00A67B69"/>
    <w:rsid w:val="00A77CE2"/>
    <w:rsid w:val="00A867D1"/>
    <w:rsid w:val="00A96D66"/>
    <w:rsid w:val="00A97065"/>
    <w:rsid w:val="00AB3064"/>
    <w:rsid w:val="00AB74BE"/>
    <w:rsid w:val="00AC27A4"/>
    <w:rsid w:val="00AC6393"/>
    <w:rsid w:val="00AD0372"/>
    <w:rsid w:val="00AD14E2"/>
    <w:rsid w:val="00AD4036"/>
    <w:rsid w:val="00AD619F"/>
    <w:rsid w:val="00AD67D0"/>
    <w:rsid w:val="00AE5039"/>
    <w:rsid w:val="00AF39E1"/>
    <w:rsid w:val="00AF46EF"/>
    <w:rsid w:val="00AF5563"/>
    <w:rsid w:val="00AF5ADB"/>
    <w:rsid w:val="00AF726E"/>
    <w:rsid w:val="00AF7DDC"/>
    <w:rsid w:val="00B04601"/>
    <w:rsid w:val="00B140B0"/>
    <w:rsid w:val="00B22B9E"/>
    <w:rsid w:val="00B234EA"/>
    <w:rsid w:val="00B23BC0"/>
    <w:rsid w:val="00B269A4"/>
    <w:rsid w:val="00B34C9F"/>
    <w:rsid w:val="00B34D75"/>
    <w:rsid w:val="00B350B4"/>
    <w:rsid w:val="00B3531F"/>
    <w:rsid w:val="00B3617B"/>
    <w:rsid w:val="00B37AC2"/>
    <w:rsid w:val="00B4152B"/>
    <w:rsid w:val="00B429EF"/>
    <w:rsid w:val="00B569C7"/>
    <w:rsid w:val="00B625E2"/>
    <w:rsid w:val="00B65659"/>
    <w:rsid w:val="00B71969"/>
    <w:rsid w:val="00B72419"/>
    <w:rsid w:val="00B726B0"/>
    <w:rsid w:val="00B735D2"/>
    <w:rsid w:val="00B7486D"/>
    <w:rsid w:val="00B85237"/>
    <w:rsid w:val="00B870AF"/>
    <w:rsid w:val="00B93290"/>
    <w:rsid w:val="00B9487B"/>
    <w:rsid w:val="00B950DA"/>
    <w:rsid w:val="00B97616"/>
    <w:rsid w:val="00BA4A9B"/>
    <w:rsid w:val="00BA5DE7"/>
    <w:rsid w:val="00BA684B"/>
    <w:rsid w:val="00BB0862"/>
    <w:rsid w:val="00BB168F"/>
    <w:rsid w:val="00BB1797"/>
    <w:rsid w:val="00BB7DCF"/>
    <w:rsid w:val="00BC2722"/>
    <w:rsid w:val="00BC333B"/>
    <w:rsid w:val="00BC48C2"/>
    <w:rsid w:val="00BD2E1C"/>
    <w:rsid w:val="00BD3765"/>
    <w:rsid w:val="00BD43BF"/>
    <w:rsid w:val="00BE2F08"/>
    <w:rsid w:val="00BF144E"/>
    <w:rsid w:val="00BF48A5"/>
    <w:rsid w:val="00BF6F5E"/>
    <w:rsid w:val="00C03ABB"/>
    <w:rsid w:val="00C07C62"/>
    <w:rsid w:val="00C1052A"/>
    <w:rsid w:val="00C125B7"/>
    <w:rsid w:val="00C15700"/>
    <w:rsid w:val="00C17EC4"/>
    <w:rsid w:val="00C25E1A"/>
    <w:rsid w:val="00C26A02"/>
    <w:rsid w:val="00C34CC4"/>
    <w:rsid w:val="00C3611C"/>
    <w:rsid w:val="00C45CD4"/>
    <w:rsid w:val="00C4713F"/>
    <w:rsid w:val="00C47AC5"/>
    <w:rsid w:val="00C7011F"/>
    <w:rsid w:val="00C8332A"/>
    <w:rsid w:val="00C837E1"/>
    <w:rsid w:val="00C91919"/>
    <w:rsid w:val="00C95FEC"/>
    <w:rsid w:val="00C96FE1"/>
    <w:rsid w:val="00CA0BC3"/>
    <w:rsid w:val="00CA57D4"/>
    <w:rsid w:val="00CA717F"/>
    <w:rsid w:val="00CA7C82"/>
    <w:rsid w:val="00CC0A18"/>
    <w:rsid w:val="00CC0ABC"/>
    <w:rsid w:val="00CD1586"/>
    <w:rsid w:val="00CD17EA"/>
    <w:rsid w:val="00CD1FF9"/>
    <w:rsid w:val="00CD2566"/>
    <w:rsid w:val="00CD3096"/>
    <w:rsid w:val="00CD37D8"/>
    <w:rsid w:val="00CD3BD3"/>
    <w:rsid w:val="00CD4144"/>
    <w:rsid w:val="00CD616A"/>
    <w:rsid w:val="00CD6640"/>
    <w:rsid w:val="00CD678D"/>
    <w:rsid w:val="00CD6EB4"/>
    <w:rsid w:val="00CE614F"/>
    <w:rsid w:val="00CE72E4"/>
    <w:rsid w:val="00CF2998"/>
    <w:rsid w:val="00CF2AC1"/>
    <w:rsid w:val="00D03E03"/>
    <w:rsid w:val="00D1329E"/>
    <w:rsid w:val="00D173D6"/>
    <w:rsid w:val="00D23462"/>
    <w:rsid w:val="00D2426B"/>
    <w:rsid w:val="00D24EE1"/>
    <w:rsid w:val="00D30AC6"/>
    <w:rsid w:val="00D3120E"/>
    <w:rsid w:val="00D3769E"/>
    <w:rsid w:val="00D4640A"/>
    <w:rsid w:val="00D53ACE"/>
    <w:rsid w:val="00D61129"/>
    <w:rsid w:val="00D65DDD"/>
    <w:rsid w:val="00D8557B"/>
    <w:rsid w:val="00D917A3"/>
    <w:rsid w:val="00D92A16"/>
    <w:rsid w:val="00D94E6D"/>
    <w:rsid w:val="00D96FE1"/>
    <w:rsid w:val="00DA04F0"/>
    <w:rsid w:val="00DA1A64"/>
    <w:rsid w:val="00DA6AD2"/>
    <w:rsid w:val="00DB1FE1"/>
    <w:rsid w:val="00DB6DC8"/>
    <w:rsid w:val="00DC3D4B"/>
    <w:rsid w:val="00DC40CA"/>
    <w:rsid w:val="00DC5EB2"/>
    <w:rsid w:val="00DC638A"/>
    <w:rsid w:val="00DD0451"/>
    <w:rsid w:val="00DE2EEF"/>
    <w:rsid w:val="00DE4067"/>
    <w:rsid w:val="00DF456E"/>
    <w:rsid w:val="00E0718C"/>
    <w:rsid w:val="00E136CF"/>
    <w:rsid w:val="00E14390"/>
    <w:rsid w:val="00E17FB5"/>
    <w:rsid w:val="00E21FB6"/>
    <w:rsid w:val="00E27F38"/>
    <w:rsid w:val="00E30DF2"/>
    <w:rsid w:val="00E314A4"/>
    <w:rsid w:val="00E37746"/>
    <w:rsid w:val="00E42775"/>
    <w:rsid w:val="00E4721F"/>
    <w:rsid w:val="00E50F08"/>
    <w:rsid w:val="00E56F1C"/>
    <w:rsid w:val="00E57B3E"/>
    <w:rsid w:val="00E6086C"/>
    <w:rsid w:val="00E626D8"/>
    <w:rsid w:val="00E64AC3"/>
    <w:rsid w:val="00E7421C"/>
    <w:rsid w:val="00E77683"/>
    <w:rsid w:val="00E80AA1"/>
    <w:rsid w:val="00E85370"/>
    <w:rsid w:val="00E90293"/>
    <w:rsid w:val="00E95BF9"/>
    <w:rsid w:val="00E97D46"/>
    <w:rsid w:val="00EA1629"/>
    <w:rsid w:val="00EB1ED4"/>
    <w:rsid w:val="00EB2BF5"/>
    <w:rsid w:val="00EB3961"/>
    <w:rsid w:val="00EB48B8"/>
    <w:rsid w:val="00EC7858"/>
    <w:rsid w:val="00ED3A23"/>
    <w:rsid w:val="00ED4B08"/>
    <w:rsid w:val="00ED621A"/>
    <w:rsid w:val="00EE60A9"/>
    <w:rsid w:val="00EE7545"/>
    <w:rsid w:val="00EF3740"/>
    <w:rsid w:val="00F07D94"/>
    <w:rsid w:val="00F16984"/>
    <w:rsid w:val="00F16F66"/>
    <w:rsid w:val="00F178D7"/>
    <w:rsid w:val="00F238BE"/>
    <w:rsid w:val="00F31154"/>
    <w:rsid w:val="00F318C4"/>
    <w:rsid w:val="00F44B19"/>
    <w:rsid w:val="00F5481D"/>
    <w:rsid w:val="00F62020"/>
    <w:rsid w:val="00F729B0"/>
    <w:rsid w:val="00F764E2"/>
    <w:rsid w:val="00F8436F"/>
    <w:rsid w:val="00F872C3"/>
    <w:rsid w:val="00F90942"/>
    <w:rsid w:val="00FA2809"/>
    <w:rsid w:val="00FA728A"/>
    <w:rsid w:val="00FA741A"/>
    <w:rsid w:val="00FB6945"/>
    <w:rsid w:val="00FC2119"/>
    <w:rsid w:val="00FC4646"/>
    <w:rsid w:val="00FC615C"/>
    <w:rsid w:val="00FC7D6D"/>
    <w:rsid w:val="00FD110F"/>
    <w:rsid w:val="00FE0D7E"/>
    <w:rsid w:val="00FE29E5"/>
    <w:rsid w:val="00FE4D48"/>
    <w:rsid w:val="00FE5083"/>
    <w:rsid w:val="00FF0498"/>
    <w:rsid w:val="00FF287D"/>
    <w:rsid w:val="00FF2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C3"/>
    <w:rPr>
      <w:rFonts w:ascii="Tahoma" w:hAnsi="Tahoma" w:cs="Tahoma"/>
      <w:sz w:val="16"/>
      <w:szCs w:val="16"/>
    </w:rPr>
  </w:style>
  <w:style w:type="paragraph" w:styleId="ListParagraph">
    <w:name w:val="List Paragraph"/>
    <w:basedOn w:val="Normal"/>
    <w:uiPriority w:val="34"/>
    <w:qFormat/>
    <w:rsid w:val="008764C3"/>
    <w:pPr>
      <w:ind w:left="720"/>
      <w:contextualSpacing/>
    </w:pPr>
    <w:rPr>
      <w:rFonts w:ascii="Calibri" w:eastAsia="Calibri" w:hAnsi="Calibri" w:cs="Times New Roman"/>
    </w:rPr>
  </w:style>
  <w:style w:type="paragraph" w:styleId="Header">
    <w:name w:val="header"/>
    <w:basedOn w:val="Normal"/>
    <w:link w:val="HeaderChar"/>
    <w:uiPriority w:val="99"/>
    <w:rsid w:val="008764C3"/>
    <w:pPr>
      <w:tabs>
        <w:tab w:val="center" w:pos="4513"/>
        <w:tab w:val="right" w:pos="9026"/>
      </w:tabs>
      <w:spacing w:after="0" w:line="240" w:lineRule="auto"/>
    </w:pPr>
    <w:rPr>
      <w:rFonts w:ascii="Calibri" w:eastAsia="Calibri" w:hAnsi="Calibri" w:cs="Times New Roman"/>
      <w:sz w:val="20"/>
      <w:szCs w:val="20"/>
      <w:lang w:eastAsia="en-GB"/>
    </w:rPr>
  </w:style>
  <w:style w:type="character" w:customStyle="1" w:styleId="HeaderChar">
    <w:name w:val="Header Char"/>
    <w:basedOn w:val="DefaultParagraphFont"/>
    <w:link w:val="Header"/>
    <w:uiPriority w:val="99"/>
    <w:rsid w:val="008764C3"/>
    <w:rPr>
      <w:rFonts w:ascii="Calibri" w:eastAsia="Calibri" w:hAnsi="Calibri" w:cs="Times New Roman"/>
      <w:sz w:val="20"/>
      <w:szCs w:val="20"/>
      <w:lang w:eastAsia="en-GB"/>
    </w:rPr>
  </w:style>
  <w:style w:type="paragraph" w:styleId="Footer">
    <w:name w:val="footer"/>
    <w:basedOn w:val="Normal"/>
    <w:link w:val="FooterChar"/>
    <w:uiPriority w:val="99"/>
    <w:rsid w:val="008764C3"/>
    <w:pPr>
      <w:tabs>
        <w:tab w:val="center" w:pos="4513"/>
        <w:tab w:val="right" w:pos="9026"/>
      </w:tabs>
      <w:spacing w:after="0" w:line="240" w:lineRule="auto"/>
    </w:pPr>
    <w:rPr>
      <w:rFonts w:ascii="Calibri" w:eastAsia="Calibri" w:hAnsi="Calibri" w:cs="Times New Roman"/>
      <w:sz w:val="20"/>
      <w:szCs w:val="20"/>
      <w:lang w:eastAsia="en-GB"/>
    </w:rPr>
  </w:style>
  <w:style w:type="character" w:customStyle="1" w:styleId="FooterChar">
    <w:name w:val="Footer Char"/>
    <w:basedOn w:val="DefaultParagraphFont"/>
    <w:link w:val="Footer"/>
    <w:uiPriority w:val="99"/>
    <w:rsid w:val="008764C3"/>
    <w:rPr>
      <w:rFonts w:ascii="Calibri" w:eastAsia="Calibri" w:hAnsi="Calibri" w:cs="Times New Roman"/>
      <w:sz w:val="20"/>
      <w:szCs w:val="20"/>
      <w:lang w:eastAsia="en-GB"/>
    </w:rPr>
  </w:style>
  <w:style w:type="character" w:styleId="PageNumber">
    <w:name w:val="page number"/>
    <w:basedOn w:val="DefaultParagraphFont"/>
    <w:uiPriority w:val="99"/>
    <w:rsid w:val="008764C3"/>
    <w:rPr>
      <w:rFonts w:cs="Times New Roman"/>
    </w:rPr>
  </w:style>
  <w:style w:type="table" w:customStyle="1" w:styleId="BDCFTTable">
    <w:name w:val="BDCFT Table"/>
    <w:basedOn w:val="TableNormal"/>
    <w:uiPriority w:val="99"/>
    <w:rsid w:val="00FA728A"/>
    <w:pPr>
      <w:spacing w:after="0" w:line="240" w:lineRule="auto"/>
    </w:pPr>
    <w:rPr>
      <w:rFonts w:ascii="Arial" w:eastAsia="Calibri" w:hAnsi="Arial" w:cs="Times New Roman"/>
      <w:lang w:eastAsia="en-GB"/>
    </w:rPr>
    <w:tblPr>
      <w:tblStyleRowBandSize w:val="1"/>
      <w:tblCellMar>
        <w:top w:w="113" w:type="dxa"/>
        <w:bottom w:w="113" w:type="dxa"/>
      </w:tblCellMar>
    </w:tblPr>
    <w:tblStylePr w:type="firstRow">
      <w:rPr>
        <w:rFonts w:ascii="Arial" w:hAnsi="Arial"/>
        <w:b/>
        <w:i w:val="0"/>
        <w:color w:val="FFFFFF" w:themeColor="background1"/>
        <w:sz w:val="22"/>
      </w:rPr>
      <w:tblPr>
        <w:tblCellMar>
          <w:top w:w="113" w:type="dxa"/>
          <w:left w:w="113" w:type="dxa"/>
          <w:bottom w:w="113" w:type="dxa"/>
          <w:right w:w="113" w:type="dxa"/>
        </w:tblCellMa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l2br w:val="nil"/>
          <w:tr2bl w:val="nil"/>
        </w:tcBorders>
        <w:shd w:val="clear" w:color="auto" w:fill="AA112D"/>
      </w:tcPr>
    </w:tblStylePr>
    <w:tblStylePr w:type="lastRow">
      <w:rPr>
        <w:rFonts w:ascii="Arial" w:hAnsi="Arial"/>
        <w:sz w:val="22"/>
      </w:rPr>
      <w:tblPr>
        <w:tblCellMar>
          <w:top w:w="113" w:type="dxa"/>
          <w:left w:w="113" w:type="dxa"/>
          <w:bottom w:w="113" w:type="dxa"/>
          <w:right w:w="113" w:type="dxa"/>
        </w:tblCellMar>
      </w:tblPr>
      <w:tcPr>
        <w:tcBorders>
          <w:bottom w:val="nil"/>
          <w:insideV w:val="single" w:sz="24" w:space="0" w:color="FFFFFF" w:themeColor="background1"/>
        </w:tcBorders>
        <w:shd w:val="clear" w:color="auto" w:fill="F2F2F2" w:themeFill="background1" w:themeFillShade="F2"/>
      </w:tcPr>
    </w:tblStylePr>
    <w:tblStylePr w:type="lastCol">
      <w:tblPr/>
      <w:tcPr>
        <w:tcBorders>
          <w:bottom w:val="nil"/>
          <w:insideV w:val="single" w:sz="24" w:space="0" w:color="FFFFFF" w:themeColor="background1"/>
        </w:tcBorders>
      </w:tcPr>
    </w:tblStylePr>
    <w:tblStylePr w:type="band1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tblStylePr w:type="band2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style>
  <w:style w:type="table" w:styleId="TableGrid">
    <w:name w:val="Table Grid"/>
    <w:basedOn w:val="TableNormal"/>
    <w:uiPriority w:val="59"/>
    <w:rsid w:val="00F8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218"/>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rsid w:val="00CC0AB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C0ABC"/>
    <w:rPr>
      <w:rFonts w:ascii="Calibri" w:eastAsia="Calibri" w:hAnsi="Calibri" w:cs="Times New Roman"/>
      <w:sz w:val="20"/>
      <w:szCs w:val="20"/>
    </w:rPr>
  </w:style>
  <w:style w:type="paragraph" w:styleId="NoSpacing">
    <w:name w:val="No Spacing"/>
    <w:uiPriority w:val="1"/>
    <w:qFormat/>
    <w:rsid w:val="00CC0ABC"/>
    <w:pPr>
      <w:spacing w:after="0" w:line="240" w:lineRule="auto"/>
    </w:pPr>
    <w:rPr>
      <w:rFonts w:ascii="Calibri" w:eastAsia="Calibri" w:hAnsi="Calibri" w:cs="Times New Roman"/>
    </w:rPr>
  </w:style>
  <w:style w:type="paragraph" w:customStyle="1" w:styleId="DefaultParagraphFontParaCharCharCharCharCharCharCharCharCharCharCharChar">
    <w:name w:val="Default Paragraph Font Para Char Char Char Char Char Char Char Char Char Char Char Char"/>
    <w:basedOn w:val="Normal"/>
    <w:rsid w:val="003E26DA"/>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semiHidden/>
    <w:unhideWhenUsed/>
    <w:rsid w:val="001E2B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BDCFTTable1">
    <w:name w:val="BDCFT Table1"/>
    <w:basedOn w:val="TableNormal"/>
    <w:uiPriority w:val="99"/>
    <w:rsid w:val="004F49FF"/>
    <w:pPr>
      <w:spacing w:after="0" w:line="240" w:lineRule="auto"/>
    </w:pPr>
    <w:rPr>
      <w:rFonts w:ascii="Arial" w:eastAsia="Calibri" w:hAnsi="Arial" w:cs="Times New Roman"/>
      <w:lang w:eastAsia="en-GB"/>
    </w:rPr>
    <w:tblPr>
      <w:tblStyleRowBandSize w:val="1"/>
      <w:tblCellMar>
        <w:top w:w="113" w:type="dxa"/>
        <w:bottom w:w="113" w:type="dxa"/>
      </w:tblCellMar>
    </w:tblPr>
    <w:tblStylePr w:type="firstRow">
      <w:rPr>
        <w:rFonts w:ascii="Arial" w:hAnsi="Arial"/>
        <w:b/>
        <w:i w:val="0"/>
        <w:color w:val="FFFFFF" w:themeColor="background1"/>
        <w:sz w:val="22"/>
      </w:rPr>
      <w:tblPr>
        <w:tblCellMar>
          <w:top w:w="113" w:type="dxa"/>
          <w:left w:w="113" w:type="dxa"/>
          <w:bottom w:w="113" w:type="dxa"/>
          <w:right w:w="113" w:type="dxa"/>
        </w:tblCellMa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l2br w:val="nil"/>
          <w:tr2bl w:val="nil"/>
        </w:tcBorders>
        <w:shd w:val="clear" w:color="auto" w:fill="AA112D"/>
      </w:tcPr>
    </w:tblStylePr>
    <w:tblStylePr w:type="lastRow">
      <w:rPr>
        <w:rFonts w:ascii="Arial" w:hAnsi="Arial"/>
        <w:sz w:val="22"/>
      </w:rPr>
      <w:tblPr>
        <w:tblCellMar>
          <w:top w:w="113" w:type="dxa"/>
          <w:left w:w="113" w:type="dxa"/>
          <w:bottom w:w="113" w:type="dxa"/>
          <w:right w:w="113" w:type="dxa"/>
        </w:tblCellMar>
      </w:tblPr>
      <w:tcPr>
        <w:tcBorders>
          <w:bottom w:val="nil"/>
          <w:insideV w:val="single" w:sz="24" w:space="0" w:color="FFFFFF" w:themeColor="background1"/>
        </w:tcBorders>
        <w:shd w:val="clear" w:color="auto" w:fill="F2F2F2" w:themeFill="background1" w:themeFillShade="F2"/>
      </w:tcPr>
    </w:tblStylePr>
    <w:tblStylePr w:type="lastCol">
      <w:tblPr/>
      <w:tcPr>
        <w:tcBorders>
          <w:bottom w:val="nil"/>
          <w:insideV w:val="single" w:sz="24" w:space="0" w:color="FFFFFF" w:themeColor="background1"/>
        </w:tcBorders>
      </w:tcPr>
    </w:tblStylePr>
    <w:tblStylePr w:type="band1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tblStylePr w:type="band2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0C41E1"/>
    <w:rPr>
      <w:sz w:val="16"/>
      <w:szCs w:val="16"/>
    </w:rPr>
  </w:style>
  <w:style w:type="paragraph" w:styleId="CommentSubject">
    <w:name w:val="annotation subject"/>
    <w:basedOn w:val="CommentText"/>
    <w:next w:val="CommentText"/>
    <w:link w:val="CommentSubjectChar"/>
    <w:uiPriority w:val="99"/>
    <w:semiHidden/>
    <w:unhideWhenUsed/>
    <w:rsid w:val="000C41E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41E1"/>
    <w:rPr>
      <w:rFonts w:ascii="Calibri" w:eastAsia="Calibri" w:hAnsi="Calibri" w:cs="Times New Roman"/>
      <w:b/>
      <w:bCs/>
      <w:sz w:val="20"/>
      <w:szCs w:val="20"/>
    </w:rPr>
  </w:style>
  <w:style w:type="character" w:styleId="Hyperlink">
    <w:name w:val="Hyperlink"/>
    <w:basedOn w:val="DefaultParagraphFont"/>
    <w:qFormat/>
    <w:rsid w:val="00B9487B"/>
    <w:rPr>
      <w:rFonts w:ascii="Arial" w:hAnsi="Arial" w:cs="Times New Roman"/>
      <w:color w:val="0000FF"/>
      <w:u w:val="single"/>
    </w:rPr>
  </w:style>
  <w:style w:type="character" w:customStyle="1" w:styleId="tgc">
    <w:name w:val="_tgc"/>
    <w:basedOn w:val="DefaultParagraphFont"/>
    <w:rsid w:val="00847061"/>
  </w:style>
  <w:style w:type="paragraph" w:styleId="FootnoteText">
    <w:name w:val="footnote text"/>
    <w:basedOn w:val="Normal"/>
    <w:link w:val="FootnoteTextChar"/>
    <w:uiPriority w:val="99"/>
    <w:semiHidden/>
    <w:unhideWhenUsed/>
    <w:rsid w:val="00121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00E"/>
    <w:rPr>
      <w:sz w:val="20"/>
      <w:szCs w:val="20"/>
    </w:rPr>
  </w:style>
  <w:style w:type="character" w:styleId="FootnoteReference">
    <w:name w:val="footnote reference"/>
    <w:basedOn w:val="DefaultParagraphFont"/>
    <w:uiPriority w:val="99"/>
    <w:semiHidden/>
    <w:unhideWhenUsed/>
    <w:rsid w:val="0012100E"/>
    <w:rPr>
      <w:vertAlign w:val="superscript"/>
    </w:rPr>
  </w:style>
  <w:style w:type="paragraph" w:customStyle="1" w:styleId="ReportTitle">
    <w:name w:val="Report Title"/>
    <w:basedOn w:val="Normal"/>
    <w:autoRedefine/>
    <w:qFormat/>
    <w:rsid w:val="00A4348D"/>
    <w:pPr>
      <w:spacing w:after="0" w:line="240" w:lineRule="auto"/>
    </w:pPr>
    <w:rPr>
      <w:rFonts w:ascii="Arial" w:hAnsi="Arial"/>
      <w:b/>
      <w:bCs/>
      <w:color w:val="006BA8"/>
      <w:sz w:val="56"/>
      <w:szCs w:val="56"/>
    </w:rPr>
  </w:style>
  <w:style w:type="paragraph" w:customStyle="1" w:styleId="ReportSubtitle">
    <w:name w:val="Report Subtitle"/>
    <w:basedOn w:val="Normal"/>
    <w:autoRedefine/>
    <w:qFormat/>
    <w:rsid w:val="00B950DA"/>
    <w:pPr>
      <w:spacing w:before="120" w:after="120" w:line="240" w:lineRule="auto"/>
    </w:pPr>
    <w:rPr>
      <w:rFonts w:ascii="Arial" w:hAnsi="Arial"/>
      <w:color w:val="7F7F7F" w:themeColor="text1" w:themeTint="80"/>
      <w:sz w:val="40"/>
      <w:szCs w:val="24"/>
    </w:rPr>
  </w:style>
  <w:style w:type="paragraph" w:customStyle="1" w:styleId="ReportSpaceParagraph">
    <w:name w:val="Report Space Paragraph"/>
    <w:basedOn w:val="ReportSubtitle"/>
    <w:qFormat/>
    <w:rsid w:val="00B950DA"/>
    <w:pPr>
      <w:ind w:right="-26"/>
      <w:jc w:val="right"/>
    </w:pPr>
    <w:rPr>
      <w:sz w:val="10"/>
    </w:rPr>
  </w:style>
  <w:style w:type="paragraph" w:customStyle="1" w:styleId="ReportIntroCopy">
    <w:name w:val="ReportIntro Copy"/>
    <w:basedOn w:val="Normal"/>
    <w:qFormat/>
    <w:rsid w:val="00B950DA"/>
    <w:pPr>
      <w:spacing w:after="0" w:line="240" w:lineRule="auto"/>
      <w:ind w:right="2814"/>
    </w:pPr>
    <w:rPr>
      <w:rFonts w:ascii="Arial" w:hAnsi="Arial"/>
      <w:b/>
      <w:color w:val="595959" w:themeColor="text1" w:themeTint="A6"/>
      <w:sz w:val="24"/>
      <w:szCs w:val="24"/>
    </w:rPr>
  </w:style>
  <w:style w:type="paragraph" w:customStyle="1" w:styleId="Pa4">
    <w:name w:val="Pa4"/>
    <w:basedOn w:val="Default"/>
    <w:next w:val="Default"/>
    <w:uiPriority w:val="99"/>
    <w:rsid w:val="00A67B69"/>
    <w:pPr>
      <w:spacing w:line="241" w:lineRule="atLeast"/>
    </w:pPr>
    <w:rPr>
      <w:rFonts w:ascii="Open Sans" w:hAnsi="Open Sans" w:cstheme="minorBidi"/>
      <w:color w:val="auto"/>
    </w:rPr>
  </w:style>
  <w:style w:type="character" w:customStyle="1" w:styleId="A4">
    <w:name w:val="A4"/>
    <w:uiPriority w:val="99"/>
    <w:rsid w:val="00A67B69"/>
    <w:rPr>
      <w:rFonts w:cs="Open Sans"/>
      <w:color w:val="000000"/>
      <w:sz w:val="20"/>
      <w:szCs w:val="20"/>
    </w:rPr>
  </w:style>
  <w:style w:type="paragraph" w:customStyle="1" w:styleId="Pa5">
    <w:name w:val="Pa5"/>
    <w:basedOn w:val="Default"/>
    <w:next w:val="Default"/>
    <w:uiPriority w:val="99"/>
    <w:rsid w:val="00A67B69"/>
    <w:pPr>
      <w:spacing w:line="241" w:lineRule="atLeast"/>
    </w:pPr>
    <w:rPr>
      <w:rFonts w:ascii="Open Sans" w:hAnsi="Open Sans" w:cstheme="minorBidi"/>
      <w:color w:val="auto"/>
    </w:rPr>
  </w:style>
  <w:style w:type="paragraph" w:customStyle="1" w:styleId="Pa3">
    <w:name w:val="Pa3"/>
    <w:basedOn w:val="Default"/>
    <w:next w:val="Default"/>
    <w:uiPriority w:val="99"/>
    <w:rsid w:val="00A67B69"/>
    <w:pPr>
      <w:spacing w:line="241" w:lineRule="atLeast"/>
    </w:pPr>
    <w:rPr>
      <w:rFonts w:ascii="Open Sans" w:hAnsi="Open Sans" w:cstheme="minorBidi"/>
      <w:color w:val="auto"/>
    </w:rPr>
  </w:style>
  <w:style w:type="character" w:customStyle="1" w:styleId="A5">
    <w:name w:val="A5"/>
    <w:uiPriority w:val="99"/>
    <w:rsid w:val="00A67B69"/>
    <w:rPr>
      <w:rFonts w:cs="Open Sans"/>
      <w:color w:val="000000"/>
      <w:sz w:val="36"/>
      <w:szCs w:val="36"/>
    </w:rPr>
  </w:style>
  <w:style w:type="character" w:customStyle="1" w:styleId="UnresolvedMention">
    <w:name w:val="Unresolved Mention"/>
    <w:basedOn w:val="DefaultParagraphFont"/>
    <w:uiPriority w:val="99"/>
    <w:semiHidden/>
    <w:unhideWhenUsed/>
    <w:rsid w:val="008D22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C3"/>
    <w:rPr>
      <w:rFonts w:ascii="Tahoma" w:hAnsi="Tahoma" w:cs="Tahoma"/>
      <w:sz w:val="16"/>
      <w:szCs w:val="16"/>
    </w:rPr>
  </w:style>
  <w:style w:type="paragraph" w:styleId="ListParagraph">
    <w:name w:val="List Paragraph"/>
    <w:basedOn w:val="Normal"/>
    <w:uiPriority w:val="34"/>
    <w:qFormat/>
    <w:rsid w:val="008764C3"/>
    <w:pPr>
      <w:ind w:left="720"/>
      <w:contextualSpacing/>
    </w:pPr>
    <w:rPr>
      <w:rFonts w:ascii="Calibri" w:eastAsia="Calibri" w:hAnsi="Calibri" w:cs="Times New Roman"/>
    </w:rPr>
  </w:style>
  <w:style w:type="paragraph" w:styleId="Header">
    <w:name w:val="header"/>
    <w:basedOn w:val="Normal"/>
    <w:link w:val="HeaderChar"/>
    <w:uiPriority w:val="99"/>
    <w:rsid w:val="008764C3"/>
    <w:pPr>
      <w:tabs>
        <w:tab w:val="center" w:pos="4513"/>
        <w:tab w:val="right" w:pos="9026"/>
      </w:tabs>
      <w:spacing w:after="0" w:line="240" w:lineRule="auto"/>
    </w:pPr>
    <w:rPr>
      <w:rFonts w:ascii="Calibri" w:eastAsia="Calibri" w:hAnsi="Calibri" w:cs="Times New Roman"/>
      <w:sz w:val="20"/>
      <w:szCs w:val="20"/>
      <w:lang w:eastAsia="en-GB"/>
    </w:rPr>
  </w:style>
  <w:style w:type="character" w:customStyle="1" w:styleId="HeaderChar">
    <w:name w:val="Header Char"/>
    <w:basedOn w:val="DefaultParagraphFont"/>
    <w:link w:val="Header"/>
    <w:uiPriority w:val="99"/>
    <w:rsid w:val="008764C3"/>
    <w:rPr>
      <w:rFonts w:ascii="Calibri" w:eastAsia="Calibri" w:hAnsi="Calibri" w:cs="Times New Roman"/>
      <w:sz w:val="20"/>
      <w:szCs w:val="20"/>
      <w:lang w:eastAsia="en-GB"/>
    </w:rPr>
  </w:style>
  <w:style w:type="paragraph" w:styleId="Footer">
    <w:name w:val="footer"/>
    <w:basedOn w:val="Normal"/>
    <w:link w:val="FooterChar"/>
    <w:uiPriority w:val="99"/>
    <w:rsid w:val="008764C3"/>
    <w:pPr>
      <w:tabs>
        <w:tab w:val="center" w:pos="4513"/>
        <w:tab w:val="right" w:pos="9026"/>
      </w:tabs>
      <w:spacing w:after="0" w:line="240" w:lineRule="auto"/>
    </w:pPr>
    <w:rPr>
      <w:rFonts w:ascii="Calibri" w:eastAsia="Calibri" w:hAnsi="Calibri" w:cs="Times New Roman"/>
      <w:sz w:val="20"/>
      <w:szCs w:val="20"/>
      <w:lang w:eastAsia="en-GB"/>
    </w:rPr>
  </w:style>
  <w:style w:type="character" w:customStyle="1" w:styleId="FooterChar">
    <w:name w:val="Footer Char"/>
    <w:basedOn w:val="DefaultParagraphFont"/>
    <w:link w:val="Footer"/>
    <w:uiPriority w:val="99"/>
    <w:rsid w:val="008764C3"/>
    <w:rPr>
      <w:rFonts w:ascii="Calibri" w:eastAsia="Calibri" w:hAnsi="Calibri" w:cs="Times New Roman"/>
      <w:sz w:val="20"/>
      <w:szCs w:val="20"/>
      <w:lang w:eastAsia="en-GB"/>
    </w:rPr>
  </w:style>
  <w:style w:type="character" w:styleId="PageNumber">
    <w:name w:val="page number"/>
    <w:basedOn w:val="DefaultParagraphFont"/>
    <w:uiPriority w:val="99"/>
    <w:rsid w:val="008764C3"/>
    <w:rPr>
      <w:rFonts w:cs="Times New Roman"/>
    </w:rPr>
  </w:style>
  <w:style w:type="table" w:customStyle="1" w:styleId="BDCFTTable">
    <w:name w:val="BDCFT Table"/>
    <w:basedOn w:val="TableNormal"/>
    <w:uiPriority w:val="99"/>
    <w:rsid w:val="00FA728A"/>
    <w:pPr>
      <w:spacing w:after="0" w:line="240" w:lineRule="auto"/>
    </w:pPr>
    <w:rPr>
      <w:rFonts w:ascii="Arial" w:eastAsia="Calibri" w:hAnsi="Arial" w:cs="Times New Roman"/>
      <w:lang w:eastAsia="en-GB"/>
    </w:rPr>
    <w:tblPr>
      <w:tblStyleRowBandSize w:val="1"/>
      <w:tblCellMar>
        <w:top w:w="113" w:type="dxa"/>
        <w:bottom w:w="113" w:type="dxa"/>
      </w:tblCellMar>
    </w:tblPr>
    <w:tblStylePr w:type="firstRow">
      <w:rPr>
        <w:rFonts w:ascii="Arial" w:hAnsi="Arial"/>
        <w:b/>
        <w:i w:val="0"/>
        <w:color w:val="FFFFFF" w:themeColor="background1"/>
        <w:sz w:val="22"/>
      </w:rPr>
      <w:tblPr>
        <w:tblCellMar>
          <w:top w:w="113" w:type="dxa"/>
          <w:left w:w="113" w:type="dxa"/>
          <w:bottom w:w="113" w:type="dxa"/>
          <w:right w:w="113" w:type="dxa"/>
        </w:tblCellMa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l2br w:val="nil"/>
          <w:tr2bl w:val="nil"/>
        </w:tcBorders>
        <w:shd w:val="clear" w:color="auto" w:fill="AA112D"/>
      </w:tcPr>
    </w:tblStylePr>
    <w:tblStylePr w:type="lastRow">
      <w:rPr>
        <w:rFonts w:ascii="Arial" w:hAnsi="Arial"/>
        <w:sz w:val="22"/>
      </w:rPr>
      <w:tblPr>
        <w:tblCellMar>
          <w:top w:w="113" w:type="dxa"/>
          <w:left w:w="113" w:type="dxa"/>
          <w:bottom w:w="113" w:type="dxa"/>
          <w:right w:w="113" w:type="dxa"/>
        </w:tblCellMar>
      </w:tblPr>
      <w:tcPr>
        <w:tcBorders>
          <w:bottom w:val="nil"/>
          <w:insideV w:val="single" w:sz="24" w:space="0" w:color="FFFFFF" w:themeColor="background1"/>
        </w:tcBorders>
        <w:shd w:val="clear" w:color="auto" w:fill="F2F2F2" w:themeFill="background1" w:themeFillShade="F2"/>
      </w:tcPr>
    </w:tblStylePr>
    <w:tblStylePr w:type="lastCol">
      <w:tblPr/>
      <w:tcPr>
        <w:tcBorders>
          <w:bottom w:val="nil"/>
          <w:insideV w:val="single" w:sz="24" w:space="0" w:color="FFFFFF" w:themeColor="background1"/>
        </w:tcBorders>
      </w:tcPr>
    </w:tblStylePr>
    <w:tblStylePr w:type="band1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tblStylePr w:type="band2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style>
  <w:style w:type="table" w:styleId="TableGrid">
    <w:name w:val="Table Grid"/>
    <w:basedOn w:val="TableNormal"/>
    <w:uiPriority w:val="59"/>
    <w:rsid w:val="00F8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218"/>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rsid w:val="00CC0AB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C0ABC"/>
    <w:rPr>
      <w:rFonts w:ascii="Calibri" w:eastAsia="Calibri" w:hAnsi="Calibri" w:cs="Times New Roman"/>
      <w:sz w:val="20"/>
      <w:szCs w:val="20"/>
    </w:rPr>
  </w:style>
  <w:style w:type="paragraph" w:styleId="NoSpacing">
    <w:name w:val="No Spacing"/>
    <w:uiPriority w:val="1"/>
    <w:qFormat/>
    <w:rsid w:val="00CC0ABC"/>
    <w:pPr>
      <w:spacing w:after="0" w:line="240" w:lineRule="auto"/>
    </w:pPr>
    <w:rPr>
      <w:rFonts w:ascii="Calibri" w:eastAsia="Calibri" w:hAnsi="Calibri" w:cs="Times New Roman"/>
    </w:rPr>
  </w:style>
  <w:style w:type="paragraph" w:customStyle="1" w:styleId="DefaultParagraphFontParaCharCharCharCharCharCharCharCharCharCharCharChar">
    <w:name w:val="Default Paragraph Font Para Char Char Char Char Char Char Char Char Char Char Char Char"/>
    <w:basedOn w:val="Normal"/>
    <w:rsid w:val="003E26DA"/>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semiHidden/>
    <w:unhideWhenUsed/>
    <w:rsid w:val="001E2B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BDCFTTable1">
    <w:name w:val="BDCFT Table1"/>
    <w:basedOn w:val="TableNormal"/>
    <w:uiPriority w:val="99"/>
    <w:rsid w:val="004F49FF"/>
    <w:pPr>
      <w:spacing w:after="0" w:line="240" w:lineRule="auto"/>
    </w:pPr>
    <w:rPr>
      <w:rFonts w:ascii="Arial" w:eastAsia="Calibri" w:hAnsi="Arial" w:cs="Times New Roman"/>
      <w:lang w:eastAsia="en-GB"/>
    </w:rPr>
    <w:tblPr>
      <w:tblStyleRowBandSize w:val="1"/>
      <w:tblCellMar>
        <w:top w:w="113" w:type="dxa"/>
        <w:bottom w:w="113" w:type="dxa"/>
      </w:tblCellMar>
    </w:tblPr>
    <w:tblStylePr w:type="firstRow">
      <w:rPr>
        <w:rFonts w:ascii="Arial" w:hAnsi="Arial"/>
        <w:b/>
        <w:i w:val="0"/>
        <w:color w:val="FFFFFF" w:themeColor="background1"/>
        <w:sz w:val="22"/>
      </w:rPr>
      <w:tblPr>
        <w:tblCellMar>
          <w:top w:w="113" w:type="dxa"/>
          <w:left w:w="113" w:type="dxa"/>
          <w:bottom w:w="113" w:type="dxa"/>
          <w:right w:w="113" w:type="dxa"/>
        </w:tblCellMa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l2br w:val="nil"/>
          <w:tr2bl w:val="nil"/>
        </w:tcBorders>
        <w:shd w:val="clear" w:color="auto" w:fill="AA112D"/>
      </w:tcPr>
    </w:tblStylePr>
    <w:tblStylePr w:type="lastRow">
      <w:rPr>
        <w:rFonts w:ascii="Arial" w:hAnsi="Arial"/>
        <w:sz w:val="22"/>
      </w:rPr>
      <w:tblPr>
        <w:tblCellMar>
          <w:top w:w="113" w:type="dxa"/>
          <w:left w:w="113" w:type="dxa"/>
          <w:bottom w:w="113" w:type="dxa"/>
          <w:right w:w="113" w:type="dxa"/>
        </w:tblCellMar>
      </w:tblPr>
      <w:tcPr>
        <w:tcBorders>
          <w:bottom w:val="nil"/>
          <w:insideV w:val="single" w:sz="24" w:space="0" w:color="FFFFFF" w:themeColor="background1"/>
        </w:tcBorders>
        <w:shd w:val="clear" w:color="auto" w:fill="F2F2F2" w:themeFill="background1" w:themeFillShade="F2"/>
      </w:tcPr>
    </w:tblStylePr>
    <w:tblStylePr w:type="lastCol">
      <w:tblPr/>
      <w:tcPr>
        <w:tcBorders>
          <w:bottom w:val="nil"/>
          <w:insideV w:val="single" w:sz="24" w:space="0" w:color="FFFFFF" w:themeColor="background1"/>
        </w:tcBorders>
      </w:tcPr>
    </w:tblStylePr>
    <w:tblStylePr w:type="band1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tblStylePr w:type="band2Horz">
      <w:rPr>
        <w:rFonts w:ascii="Arial" w:hAnsi="Arial"/>
        <w:sz w:val="20"/>
      </w:rPr>
      <w:tblPr>
        <w:tblCellMar>
          <w:top w:w="113" w:type="dxa"/>
          <w:left w:w="113" w:type="dxa"/>
          <w:bottom w:w="113" w:type="dxa"/>
          <w:right w:w="113" w:type="dxa"/>
        </w:tblCellMar>
      </w:tblPr>
      <w:tcPr>
        <w:tcBorders>
          <w:top w:val="nil"/>
          <w:left w:val="nil"/>
          <w:bottom w:val="single" w:sz="24" w:space="0" w:color="FFFFFF" w:themeColor="background1"/>
          <w:right w:val="nil"/>
          <w:insideH w:val="nil"/>
          <w:insideV w:val="single" w:sz="24" w:space="0" w:color="FFFFFF" w:themeColor="background1"/>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0C41E1"/>
    <w:rPr>
      <w:sz w:val="16"/>
      <w:szCs w:val="16"/>
    </w:rPr>
  </w:style>
  <w:style w:type="paragraph" w:styleId="CommentSubject">
    <w:name w:val="annotation subject"/>
    <w:basedOn w:val="CommentText"/>
    <w:next w:val="CommentText"/>
    <w:link w:val="CommentSubjectChar"/>
    <w:uiPriority w:val="99"/>
    <w:semiHidden/>
    <w:unhideWhenUsed/>
    <w:rsid w:val="000C41E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41E1"/>
    <w:rPr>
      <w:rFonts w:ascii="Calibri" w:eastAsia="Calibri" w:hAnsi="Calibri" w:cs="Times New Roman"/>
      <w:b/>
      <w:bCs/>
      <w:sz w:val="20"/>
      <w:szCs w:val="20"/>
    </w:rPr>
  </w:style>
  <w:style w:type="character" w:styleId="Hyperlink">
    <w:name w:val="Hyperlink"/>
    <w:basedOn w:val="DefaultParagraphFont"/>
    <w:qFormat/>
    <w:rsid w:val="00B9487B"/>
    <w:rPr>
      <w:rFonts w:ascii="Arial" w:hAnsi="Arial" w:cs="Times New Roman"/>
      <w:color w:val="0000FF"/>
      <w:u w:val="single"/>
    </w:rPr>
  </w:style>
  <w:style w:type="character" w:customStyle="1" w:styleId="tgc">
    <w:name w:val="_tgc"/>
    <w:basedOn w:val="DefaultParagraphFont"/>
    <w:rsid w:val="00847061"/>
  </w:style>
  <w:style w:type="paragraph" w:styleId="FootnoteText">
    <w:name w:val="footnote text"/>
    <w:basedOn w:val="Normal"/>
    <w:link w:val="FootnoteTextChar"/>
    <w:uiPriority w:val="99"/>
    <w:semiHidden/>
    <w:unhideWhenUsed/>
    <w:rsid w:val="00121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00E"/>
    <w:rPr>
      <w:sz w:val="20"/>
      <w:szCs w:val="20"/>
    </w:rPr>
  </w:style>
  <w:style w:type="character" w:styleId="FootnoteReference">
    <w:name w:val="footnote reference"/>
    <w:basedOn w:val="DefaultParagraphFont"/>
    <w:uiPriority w:val="99"/>
    <w:semiHidden/>
    <w:unhideWhenUsed/>
    <w:rsid w:val="0012100E"/>
    <w:rPr>
      <w:vertAlign w:val="superscript"/>
    </w:rPr>
  </w:style>
  <w:style w:type="paragraph" w:customStyle="1" w:styleId="ReportTitle">
    <w:name w:val="Report Title"/>
    <w:basedOn w:val="Normal"/>
    <w:autoRedefine/>
    <w:qFormat/>
    <w:rsid w:val="00A4348D"/>
    <w:pPr>
      <w:spacing w:after="0" w:line="240" w:lineRule="auto"/>
    </w:pPr>
    <w:rPr>
      <w:rFonts w:ascii="Arial" w:hAnsi="Arial"/>
      <w:b/>
      <w:bCs/>
      <w:color w:val="006BA8"/>
      <w:sz w:val="56"/>
      <w:szCs w:val="56"/>
    </w:rPr>
  </w:style>
  <w:style w:type="paragraph" w:customStyle="1" w:styleId="ReportSubtitle">
    <w:name w:val="Report Subtitle"/>
    <w:basedOn w:val="Normal"/>
    <w:autoRedefine/>
    <w:qFormat/>
    <w:rsid w:val="00B950DA"/>
    <w:pPr>
      <w:spacing w:before="120" w:after="120" w:line="240" w:lineRule="auto"/>
    </w:pPr>
    <w:rPr>
      <w:rFonts w:ascii="Arial" w:hAnsi="Arial"/>
      <w:color w:val="7F7F7F" w:themeColor="text1" w:themeTint="80"/>
      <w:sz w:val="40"/>
      <w:szCs w:val="24"/>
    </w:rPr>
  </w:style>
  <w:style w:type="paragraph" w:customStyle="1" w:styleId="ReportSpaceParagraph">
    <w:name w:val="Report Space Paragraph"/>
    <w:basedOn w:val="ReportSubtitle"/>
    <w:qFormat/>
    <w:rsid w:val="00B950DA"/>
    <w:pPr>
      <w:ind w:right="-26"/>
      <w:jc w:val="right"/>
    </w:pPr>
    <w:rPr>
      <w:sz w:val="10"/>
    </w:rPr>
  </w:style>
  <w:style w:type="paragraph" w:customStyle="1" w:styleId="ReportIntroCopy">
    <w:name w:val="ReportIntro Copy"/>
    <w:basedOn w:val="Normal"/>
    <w:qFormat/>
    <w:rsid w:val="00B950DA"/>
    <w:pPr>
      <w:spacing w:after="0" w:line="240" w:lineRule="auto"/>
      <w:ind w:right="2814"/>
    </w:pPr>
    <w:rPr>
      <w:rFonts w:ascii="Arial" w:hAnsi="Arial"/>
      <w:b/>
      <w:color w:val="595959" w:themeColor="text1" w:themeTint="A6"/>
      <w:sz w:val="24"/>
      <w:szCs w:val="24"/>
    </w:rPr>
  </w:style>
  <w:style w:type="paragraph" w:customStyle="1" w:styleId="Pa4">
    <w:name w:val="Pa4"/>
    <w:basedOn w:val="Default"/>
    <w:next w:val="Default"/>
    <w:uiPriority w:val="99"/>
    <w:rsid w:val="00A67B69"/>
    <w:pPr>
      <w:spacing w:line="241" w:lineRule="atLeast"/>
    </w:pPr>
    <w:rPr>
      <w:rFonts w:ascii="Open Sans" w:hAnsi="Open Sans" w:cstheme="minorBidi"/>
      <w:color w:val="auto"/>
    </w:rPr>
  </w:style>
  <w:style w:type="character" w:customStyle="1" w:styleId="A4">
    <w:name w:val="A4"/>
    <w:uiPriority w:val="99"/>
    <w:rsid w:val="00A67B69"/>
    <w:rPr>
      <w:rFonts w:cs="Open Sans"/>
      <w:color w:val="000000"/>
      <w:sz w:val="20"/>
      <w:szCs w:val="20"/>
    </w:rPr>
  </w:style>
  <w:style w:type="paragraph" w:customStyle="1" w:styleId="Pa5">
    <w:name w:val="Pa5"/>
    <w:basedOn w:val="Default"/>
    <w:next w:val="Default"/>
    <w:uiPriority w:val="99"/>
    <w:rsid w:val="00A67B69"/>
    <w:pPr>
      <w:spacing w:line="241" w:lineRule="atLeast"/>
    </w:pPr>
    <w:rPr>
      <w:rFonts w:ascii="Open Sans" w:hAnsi="Open Sans" w:cstheme="minorBidi"/>
      <w:color w:val="auto"/>
    </w:rPr>
  </w:style>
  <w:style w:type="paragraph" w:customStyle="1" w:styleId="Pa3">
    <w:name w:val="Pa3"/>
    <w:basedOn w:val="Default"/>
    <w:next w:val="Default"/>
    <w:uiPriority w:val="99"/>
    <w:rsid w:val="00A67B69"/>
    <w:pPr>
      <w:spacing w:line="241" w:lineRule="atLeast"/>
    </w:pPr>
    <w:rPr>
      <w:rFonts w:ascii="Open Sans" w:hAnsi="Open Sans" w:cstheme="minorBidi"/>
      <w:color w:val="auto"/>
    </w:rPr>
  </w:style>
  <w:style w:type="character" w:customStyle="1" w:styleId="A5">
    <w:name w:val="A5"/>
    <w:uiPriority w:val="99"/>
    <w:rsid w:val="00A67B69"/>
    <w:rPr>
      <w:rFonts w:cs="Open Sans"/>
      <w:color w:val="000000"/>
      <w:sz w:val="36"/>
      <w:szCs w:val="36"/>
    </w:rPr>
  </w:style>
  <w:style w:type="character" w:customStyle="1" w:styleId="UnresolvedMention">
    <w:name w:val="Unresolved Mention"/>
    <w:basedOn w:val="DefaultParagraphFont"/>
    <w:uiPriority w:val="99"/>
    <w:semiHidden/>
    <w:unhideWhenUsed/>
    <w:rsid w:val="008D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9128">
      <w:bodyDiv w:val="1"/>
      <w:marLeft w:val="0"/>
      <w:marRight w:val="0"/>
      <w:marTop w:val="0"/>
      <w:marBottom w:val="0"/>
      <w:divBdr>
        <w:top w:val="none" w:sz="0" w:space="0" w:color="auto"/>
        <w:left w:val="none" w:sz="0" w:space="0" w:color="auto"/>
        <w:bottom w:val="none" w:sz="0" w:space="0" w:color="auto"/>
        <w:right w:val="none" w:sz="0" w:space="0" w:color="auto"/>
      </w:divBdr>
    </w:div>
    <w:div w:id="267936012">
      <w:bodyDiv w:val="1"/>
      <w:marLeft w:val="0"/>
      <w:marRight w:val="0"/>
      <w:marTop w:val="0"/>
      <w:marBottom w:val="0"/>
      <w:divBdr>
        <w:top w:val="none" w:sz="0" w:space="0" w:color="auto"/>
        <w:left w:val="none" w:sz="0" w:space="0" w:color="auto"/>
        <w:bottom w:val="none" w:sz="0" w:space="0" w:color="auto"/>
        <w:right w:val="none" w:sz="0" w:space="0" w:color="auto"/>
      </w:divBdr>
    </w:div>
    <w:div w:id="303782339">
      <w:bodyDiv w:val="1"/>
      <w:marLeft w:val="0"/>
      <w:marRight w:val="0"/>
      <w:marTop w:val="0"/>
      <w:marBottom w:val="0"/>
      <w:divBdr>
        <w:top w:val="none" w:sz="0" w:space="0" w:color="auto"/>
        <w:left w:val="none" w:sz="0" w:space="0" w:color="auto"/>
        <w:bottom w:val="none" w:sz="0" w:space="0" w:color="auto"/>
        <w:right w:val="none" w:sz="0" w:space="0" w:color="auto"/>
      </w:divBdr>
    </w:div>
    <w:div w:id="314721701">
      <w:bodyDiv w:val="1"/>
      <w:marLeft w:val="0"/>
      <w:marRight w:val="0"/>
      <w:marTop w:val="0"/>
      <w:marBottom w:val="0"/>
      <w:divBdr>
        <w:top w:val="none" w:sz="0" w:space="0" w:color="auto"/>
        <w:left w:val="none" w:sz="0" w:space="0" w:color="auto"/>
        <w:bottom w:val="none" w:sz="0" w:space="0" w:color="auto"/>
        <w:right w:val="none" w:sz="0" w:space="0" w:color="auto"/>
      </w:divBdr>
    </w:div>
    <w:div w:id="624578220">
      <w:bodyDiv w:val="1"/>
      <w:marLeft w:val="0"/>
      <w:marRight w:val="0"/>
      <w:marTop w:val="0"/>
      <w:marBottom w:val="0"/>
      <w:divBdr>
        <w:top w:val="none" w:sz="0" w:space="0" w:color="auto"/>
        <w:left w:val="none" w:sz="0" w:space="0" w:color="auto"/>
        <w:bottom w:val="none" w:sz="0" w:space="0" w:color="auto"/>
        <w:right w:val="none" w:sz="0" w:space="0" w:color="auto"/>
      </w:divBdr>
    </w:div>
    <w:div w:id="656956028">
      <w:bodyDiv w:val="1"/>
      <w:marLeft w:val="0"/>
      <w:marRight w:val="0"/>
      <w:marTop w:val="0"/>
      <w:marBottom w:val="0"/>
      <w:divBdr>
        <w:top w:val="none" w:sz="0" w:space="0" w:color="auto"/>
        <w:left w:val="none" w:sz="0" w:space="0" w:color="auto"/>
        <w:bottom w:val="none" w:sz="0" w:space="0" w:color="auto"/>
        <w:right w:val="none" w:sz="0" w:space="0" w:color="auto"/>
      </w:divBdr>
    </w:div>
    <w:div w:id="726952550">
      <w:bodyDiv w:val="1"/>
      <w:marLeft w:val="0"/>
      <w:marRight w:val="0"/>
      <w:marTop w:val="0"/>
      <w:marBottom w:val="0"/>
      <w:divBdr>
        <w:top w:val="none" w:sz="0" w:space="0" w:color="auto"/>
        <w:left w:val="none" w:sz="0" w:space="0" w:color="auto"/>
        <w:bottom w:val="none" w:sz="0" w:space="0" w:color="auto"/>
        <w:right w:val="none" w:sz="0" w:space="0" w:color="auto"/>
      </w:divBdr>
    </w:div>
    <w:div w:id="795178701">
      <w:bodyDiv w:val="1"/>
      <w:marLeft w:val="0"/>
      <w:marRight w:val="0"/>
      <w:marTop w:val="0"/>
      <w:marBottom w:val="0"/>
      <w:divBdr>
        <w:top w:val="none" w:sz="0" w:space="0" w:color="auto"/>
        <w:left w:val="none" w:sz="0" w:space="0" w:color="auto"/>
        <w:bottom w:val="none" w:sz="0" w:space="0" w:color="auto"/>
        <w:right w:val="none" w:sz="0" w:space="0" w:color="auto"/>
      </w:divBdr>
    </w:div>
    <w:div w:id="795679415">
      <w:bodyDiv w:val="1"/>
      <w:marLeft w:val="0"/>
      <w:marRight w:val="0"/>
      <w:marTop w:val="0"/>
      <w:marBottom w:val="0"/>
      <w:divBdr>
        <w:top w:val="none" w:sz="0" w:space="0" w:color="auto"/>
        <w:left w:val="none" w:sz="0" w:space="0" w:color="auto"/>
        <w:bottom w:val="none" w:sz="0" w:space="0" w:color="auto"/>
        <w:right w:val="none" w:sz="0" w:space="0" w:color="auto"/>
      </w:divBdr>
      <w:divsChild>
        <w:div w:id="103160124">
          <w:marLeft w:val="547"/>
          <w:marRight w:val="0"/>
          <w:marTop w:val="115"/>
          <w:marBottom w:val="0"/>
          <w:divBdr>
            <w:top w:val="none" w:sz="0" w:space="0" w:color="auto"/>
            <w:left w:val="none" w:sz="0" w:space="0" w:color="auto"/>
            <w:bottom w:val="none" w:sz="0" w:space="0" w:color="auto"/>
            <w:right w:val="none" w:sz="0" w:space="0" w:color="auto"/>
          </w:divBdr>
        </w:div>
        <w:div w:id="270943491">
          <w:marLeft w:val="547"/>
          <w:marRight w:val="0"/>
          <w:marTop w:val="115"/>
          <w:marBottom w:val="0"/>
          <w:divBdr>
            <w:top w:val="none" w:sz="0" w:space="0" w:color="auto"/>
            <w:left w:val="none" w:sz="0" w:space="0" w:color="auto"/>
            <w:bottom w:val="none" w:sz="0" w:space="0" w:color="auto"/>
            <w:right w:val="none" w:sz="0" w:space="0" w:color="auto"/>
          </w:divBdr>
        </w:div>
        <w:div w:id="724790398">
          <w:marLeft w:val="547"/>
          <w:marRight w:val="0"/>
          <w:marTop w:val="115"/>
          <w:marBottom w:val="0"/>
          <w:divBdr>
            <w:top w:val="none" w:sz="0" w:space="0" w:color="auto"/>
            <w:left w:val="none" w:sz="0" w:space="0" w:color="auto"/>
            <w:bottom w:val="none" w:sz="0" w:space="0" w:color="auto"/>
            <w:right w:val="none" w:sz="0" w:space="0" w:color="auto"/>
          </w:divBdr>
        </w:div>
        <w:div w:id="995064414">
          <w:marLeft w:val="547"/>
          <w:marRight w:val="0"/>
          <w:marTop w:val="115"/>
          <w:marBottom w:val="0"/>
          <w:divBdr>
            <w:top w:val="none" w:sz="0" w:space="0" w:color="auto"/>
            <w:left w:val="none" w:sz="0" w:space="0" w:color="auto"/>
            <w:bottom w:val="none" w:sz="0" w:space="0" w:color="auto"/>
            <w:right w:val="none" w:sz="0" w:space="0" w:color="auto"/>
          </w:divBdr>
        </w:div>
      </w:divsChild>
    </w:div>
    <w:div w:id="966273690">
      <w:bodyDiv w:val="1"/>
      <w:marLeft w:val="0"/>
      <w:marRight w:val="0"/>
      <w:marTop w:val="0"/>
      <w:marBottom w:val="0"/>
      <w:divBdr>
        <w:top w:val="none" w:sz="0" w:space="0" w:color="auto"/>
        <w:left w:val="none" w:sz="0" w:space="0" w:color="auto"/>
        <w:bottom w:val="none" w:sz="0" w:space="0" w:color="auto"/>
        <w:right w:val="none" w:sz="0" w:space="0" w:color="auto"/>
      </w:divBdr>
    </w:div>
    <w:div w:id="1001080071">
      <w:bodyDiv w:val="1"/>
      <w:marLeft w:val="0"/>
      <w:marRight w:val="0"/>
      <w:marTop w:val="0"/>
      <w:marBottom w:val="0"/>
      <w:divBdr>
        <w:top w:val="none" w:sz="0" w:space="0" w:color="auto"/>
        <w:left w:val="none" w:sz="0" w:space="0" w:color="auto"/>
        <w:bottom w:val="none" w:sz="0" w:space="0" w:color="auto"/>
        <w:right w:val="none" w:sz="0" w:space="0" w:color="auto"/>
      </w:divBdr>
    </w:div>
    <w:div w:id="1047798024">
      <w:bodyDiv w:val="1"/>
      <w:marLeft w:val="0"/>
      <w:marRight w:val="0"/>
      <w:marTop w:val="0"/>
      <w:marBottom w:val="0"/>
      <w:divBdr>
        <w:top w:val="none" w:sz="0" w:space="0" w:color="auto"/>
        <w:left w:val="none" w:sz="0" w:space="0" w:color="auto"/>
        <w:bottom w:val="none" w:sz="0" w:space="0" w:color="auto"/>
        <w:right w:val="none" w:sz="0" w:space="0" w:color="auto"/>
      </w:divBdr>
    </w:div>
    <w:div w:id="1277906475">
      <w:bodyDiv w:val="1"/>
      <w:marLeft w:val="0"/>
      <w:marRight w:val="0"/>
      <w:marTop w:val="0"/>
      <w:marBottom w:val="0"/>
      <w:divBdr>
        <w:top w:val="none" w:sz="0" w:space="0" w:color="auto"/>
        <w:left w:val="none" w:sz="0" w:space="0" w:color="auto"/>
        <w:bottom w:val="none" w:sz="0" w:space="0" w:color="auto"/>
        <w:right w:val="none" w:sz="0" w:space="0" w:color="auto"/>
      </w:divBdr>
      <w:divsChild>
        <w:div w:id="1182088690">
          <w:marLeft w:val="547"/>
          <w:marRight w:val="0"/>
          <w:marTop w:val="96"/>
          <w:marBottom w:val="0"/>
          <w:divBdr>
            <w:top w:val="none" w:sz="0" w:space="0" w:color="auto"/>
            <w:left w:val="none" w:sz="0" w:space="0" w:color="auto"/>
            <w:bottom w:val="none" w:sz="0" w:space="0" w:color="auto"/>
            <w:right w:val="none" w:sz="0" w:space="0" w:color="auto"/>
          </w:divBdr>
        </w:div>
        <w:div w:id="1386947244">
          <w:marLeft w:val="547"/>
          <w:marRight w:val="0"/>
          <w:marTop w:val="96"/>
          <w:marBottom w:val="0"/>
          <w:divBdr>
            <w:top w:val="none" w:sz="0" w:space="0" w:color="auto"/>
            <w:left w:val="none" w:sz="0" w:space="0" w:color="auto"/>
            <w:bottom w:val="none" w:sz="0" w:space="0" w:color="auto"/>
            <w:right w:val="none" w:sz="0" w:space="0" w:color="auto"/>
          </w:divBdr>
        </w:div>
        <w:div w:id="1789812775">
          <w:marLeft w:val="547"/>
          <w:marRight w:val="0"/>
          <w:marTop w:val="96"/>
          <w:marBottom w:val="0"/>
          <w:divBdr>
            <w:top w:val="none" w:sz="0" w:space="0" w:color="auto"/>
            <w:left w:val="none" w:sz="0" w:space="0" w:color="auto"/>
            <w:bottom w:val="none" w:sz="0" w:space="0" w:color="auto"/>
            <w:right w:val="none" w:sz="0" w:space="0" w:color="auto"/>
          </w:divBdr>
        </w:div>
        <w:div w:id="2021854404">
          <w:marLeft w:val="547"/>
          <w:marRight w:val="0"/>
          <w:marTop w:val="96"/>
          <w:marBottom w:val="0"/>
          <w:divBdr>
            <w:top w:val="none" w:sz="0" w:space="0" w:color="auto"/>
            <w:left w:val="none" w:sz="0" w:space="0" w:color="auto"/>
            <w:bottom w:val="none" w:sz="0" w:space="0" w:color="auto"/>
            <w:right w:val="none" w:sz="0" w:space="0" w:color="auto"/>
          </w:divBdr>
        </w:div>
      </w:divsChild>
    </w:div>
    <w:div w:id="1413232714">
      <w:bodyDiv w:val="1"/>
      <w:marLeft w:val="0"/>
      <w:marRight w:val="0"/>
      <w:marTop w:val="0"/>
      <w:marBottom w:val="0"/>
      <w:divBdr>
        <w:top w:val="none" w:sz="0" w:space="0" w:color="auto"/>
        <w:left w:val="none" w:sz="0" w:space="0" w:color="auto"/>
        <w:bottom w:val="none" w:sz="0" w:space="0" w:color="auto"/>
        <w:right w:val="none" w:sz="0" w:space="0" w:color="auto"/>
      </w:divBdr>
    </w:div>
    <w:div w:id="1605308461">
      <w:bodyDiv w:val="1"/>
      <w:marLeft w:val="0"/>
      <w:marRight w:val="0"/>
      <w:marTop w:val="0"/>
      <w:marBottom w:val="0"/>
      <w:divBdr>
        <w:top w:val="none" w:sz="0" w:space="0" w:color="auto"/>
        <w:left w:val="none" w:sz="0" w:space="0" w:color="auto"/>
        <w:bottom w:val="none" w:sz="0" w:space="0" w:color="auto"/>
        <w:right w:val="none" w:sz="0" w:space="0" w:color="auto"/>
      </w:divBdr>
    </w:div>
    <w:div w:id="1635259650">
      <w:bodyDiv w:val="1"/>
      <w:marLeft w:val="0"/>
      <w:marRight w:val="0"/>
      <w:marTop w:val="0"/>
      <w:marBottom w:val="0"/>
      <w:divBdr>
        <w:top w:val="none" w:sz="0" w:space="0" w:color="auto"/>
        <w:left w:val="none" w:sz="0" w:space="0" w:color="auto"/>
        <w:bottom w:val="none" w:sz="0" w:space="0" w:color="auto"/>
        <w:right w:val="none" w:sz="0" w:space="0" w:color="auto"/>
      </w:divBdr>
    </w:div>
    <w:div w:id="1766268481">
      <w:bodyDiv w:val="1"/>
      <w:marLeft w:val="0"/>
      <w:marRight w:val="0"/>
      <w:marTop w:val="0"/>
      <w:marBottom w:val="0"/>
      <w:divBdr>
        <w:top w:val="none" w:sz="0" w:space="0" w:color="auto"/>
        <w:left w:val="none" w:sz="0" w:space="0" w:color="auto"/>
        <w:bottom w:val="none" w:sz="0" w:space="0" w:color="auto"/>
        <w:right w:val="none" w:sz="0" w:space="0" w:color="auto"/>
      </w:divBdr>
    </w:div>
    <w:div w:id="1835294492">
      <w:bodyDiv w:val="1"/>
      <w:marLeft w:val="0"/>
      <w:marRight w:val="0"/>
      <w:marTop w:val="0"/>
      <w:marBottom w:val="0"/>
      <w:divBdr>
        <w:top w:val="none" w:sz="0" w:space="0" w:color="auto"/>
        <w:left w:val="none" w:sz="0" w:space="0" w:color="auto"/>
        <w:bottom w:val="none" w:sz="0" w:space="0" w:color="auto"/>
        <w:right w:val="none" w:sz="0" w:space="0" w:color="auto"/>
      </w:divBdr>
      <w:divsChild>
        <w:div w:id="226838616">
          <w:marLeft w:val="0"/>
          <w:marRight w:val="0"/>
          <w:marTop w:val="0"/>
          <w:marBottom w:val="0"/>
          <w:divBdr>
            <w:top w:val="none" w:sz="0" w:space="0" w:color="auto"/>
            <w:left w:val="none" w:sz="0" w:space="0" w:color="auto"/>
            <w:bottom w:val="none" w:sz="0" w:space="0" w:color="auto"/>
            <w:right w:val="none" w:sz="0" w:space="0" w:color="auto"/>
          </w:divBdr>
        </w:div>
        <w:div w:id="1843856518">
          <w:marLeft w:val="0"/>
          <w:marRight w:val="0"/>
          <w:marTop w:val="0"/>
          <w:marBottom w:val="0"/>
          <w:divBdr>
            <w:top w:val="none" w:sz="0" w:space="0" w:color="auto"/>
            <w:left w:val="none" w:sz="0" w:space="0" w:color="auto"/>
            <w:bottom w:val="none" w:sz="0" w:space="0" w:color="auto"/>
            <w:right w:val="none" w:sz="0" w:space="0" w:color="auto"/>
          </w:divBdr>
        </w:div>
      </w:divsChild>
    </w:div>
    <w:div w:id="1965887278">
      <w:bodyDiv w:val="1"/>
      <w:marLeft w:val="0"/>
      <w:marRight w:val="0"/>
      <w:marTop w:val="0"/>
      <w:marBottom w:val="0"/>
      <w:divBdr>
        <w:top w:val="none" w:sz="0" w:space="0" w:color="auto"/>
        <w:left w:val="none" w:sz="0" w:space="0" w:color="auto"/>
        <w:bottom w:val="none" w:sz="0" w:space="0" w:color="auto"/>
        <w:right w:val="none" w:sz="0" w:space="0" w:color="auto"/>
      </w:divBdr>
    </w:div>
    <w:div w:id="2059158452">
      <w:bodyDiv w:val="1"/>
      <w:marLeft w:val="0"/>
      <w:marRight w:val="0"/>
      <w:marTop w:val="0"/>
      <w:marBottom w:val="0"/>
      <w:divBdr>
        <w:top w:val="none" w:sz="0" w:space="0" w:color="auto"/>
        <w:left w:val="none" w:sz="0" w:space="0" w:color="auto"/>
        <w:bottom w:val="none" w:sz="0" w:space="0" w:color="auto"/>
        <w:right w:val="none" w:sz="0" w:space="0" w:color="auto"/>
      </w:divBdr>
      <w:divsChild>
        <w:div w:id="428934474">
          <w:marLeft w:val="0"/>
          <w:marRight w:val="0"/>
          <w:marTop w:val="0"/>
          <w:marBottom w:val="0"/>
          <w:divBdr>
            <w:top w:val="none" w:sz="0" w:space="0" w:color="auto"/>
            <w:left w:val="none" w:sz="0" w:space="0" w:color="auto"/>
            <w:bottom w:val="none" w:sz="0" w:space="0" w:color="auto"/>
            <w:right w:val="none" w:sz="0" w:space="0" w:color="auto"/>
          </w:divBdr>
          <w:divsChild>
            <w:div w:id="48695684">
              <w:marLeft w:val="0"/>
              <w:marRight w:val="0"/>
              <w:marTop w:val="0"/>
              <w:marBottom w:val="0"/>
              <w:divBdr>
                <w:top w:val="none" w:sz="0" w:space="0" w:color="auto"/>
                <w:left w:val="none" w:sz="0" w:space="0" w:color="auto"/>
                <w:bottom w:val="none" w:sz="0" w:space="0" w:color="auto"/>
                <w:right w:val="none" w:sz="0" w:space="0" w:color="auto"/>
              </w:divBdr>
              <w:divsChild>
                <w:div w:id="866330753">
                  <w:marLeft w:val="0"/>
                  <w:marRight w:val="0"/>
                  <w:marTop w:val="0"/>
                  <w:marBottom w:val="0"/>
                  <w:divBdr>
                    <w:top w:val="none" w:sz="0" w:space="0" w:color="auto"/>
                    <w:left w:val="none" w:sz="0" w:space="0" w:color="auto"/>
                    <w:bottom w:val="none" w:sz="0" w:space="0" w:color="auto"/>
                    <w:right w:val="none" w:sz="0" w:space="0" w:color="auto"/>
                  </w:divBdr>
                  <w:divsChild>
                    <w:div w:id="886258053">
                      <w:marLeft w:val="0"/>
                      <w:marRight w:val="0"/>
                      <w:marTop w:val="0"/>
                      <w:marBottom w:val="0"/>
                      <w:divBdr>
                        <w:top w:val="none" w:sz="0" w:space="0" w:color="auto"/>
                        <w:left w:val="none" w:sz="0" w:space="0" w:color="auto"/>
                        <w:bottom w:val="none" w:sz="0" w:space="0" w:color="auto"/>
                        <w:right w:val="none" w:sz="0" w:space="0" w:color="auto"/>
                      </w:divBdr>
                      <w:divsChild>
                        <w:div w:id="1234699499">
                          <w:marLeft w:val="0"/>
                          <w:marRight w:val="0"/>
                          <w:marTop w:val="0"/>
                          <w:marBottom w:val="0"/>
                          <w:divBdr>
                            <w:top w:val="none" w:sz="0" w:space="0" w:color="auto"/>
                            <w:left w:val="none" w:sz="0" w:space="0" w:color="auto"/>
                            <w:bottom w:val="none" w:sz="0" w:space="0" w:color="auto"/>
                            <w:right w:val="none" w:sz="0" w:space="0" w:color="auto"/>
                          </w:divBdr>
                          <w:divsChild>
                            <w:div w:id="876353346">
                              <w:marLeft w:val="0"/>
                              <w:marRight w:val="0"/>
                              <w:marTop w:val="0"/>
                              <w:marBottom w:val="0"/>
                              <w:divBdr>
                                <w:top w:val="none" w:sz="0" w:space="0" w:color="auto"/>
                                <w:left w:val="none" w:sz="0" w:space="0" w:color="auto"/>
                                <w:bottom w:val="none" w:sz="0" w:space="0" w:color="auto"/>
                                <w:right w:val="none" w:sz="0" w:space="0" w:color="auto"/>
                              </w:divBdr>
                              <w:divsChild>
                                <w:div w:id="1123116034">
                                  <w:marLeft w:val="0"/>
                                  <w:marRight w:val="0"/>
                                  <w:marTop w:val="0"/>
                                  <w:marBottom w:val="0"/>
                                  <w:divBdr>
                                    <w:top w:val="none" w:sz="0" w:space="0" w:color="auto"/>
                                    <w:left w:val="none" w:sz="0" w:space="0" w:color="auto"/>
                                    <w:bottom w:val="none" w:sz="0" w:space="0" w:color="auto"/>
                                    <w:right w:val="none" w:sz="0" w:space="0" w:color="auto"/>
                                  </w:divBdr>
                                  <w:divsChild>
                                    <w:div w:id="1891383121">
                                      <w:marLeft w:val="0"/>
                                      <w:marRight w:val="0"/>
                                      <w:marTop w:val="0"/>
                                      <w:marBottom w:val="0"/>
                                      <w:divBdr>
                                        <w:top w:val="none" w:sz="0" w:space="0" w:color="auto"/>
                                        <w:left w:val="none" w:sz="0" w:space="0" w:color="auto"/>
                                        <w:bottom w:val="none" w:sz="0" w:space="0" w:color="auto"/>
                                        <w:right w:val="none" w:sz="0" w:space="0" w:color="auto"/>
                                      </w:divBdr>
                                      <w:divsChild>
                                        <w:div w:id="1299266243">
                                          <w:marLeft w:val="0"/>
                                          <w:marRight w:val="0"/>
                                          <w:marTop w:val="0"/>
                                          <w:marBottom w:val="0"/>
                                          <w:divBdr>
                                            <w:top w:val="none" w:sz="0" w:space="0" w:color="auto"/>
                                            <w:left w:val="none" w:sz="0" w:space="0" w:color="auto"/>
                                            <w:bottom w:val="none" w:sz="0" w:space="0" w:color="auto"/>
                                            <w:right w:val="none" w:sz="0" w:space="0" w:color="auto"/>
                                          </w:divBdr>
                                          <w:divsChild>
                                            <w:div w:id="489835968">
                                              <w:marLeft w:val="0"/>
                                              <w:marRight w:val="0"/>
                                              <w:marTop w:val="0"/>
                                              <w:marBottom w:val="0"/>
                                              <w:divBdr>
                                                <w:top w:val="none" w:sz="0" w:space="0" w:color="auto"/>
                                                <w:left w:val="none" w:sz="0" w:space="0" w:color="auto"/>
                                                <w:bottom w:val="none" w:sz="0" w:space="0" w:color="auto"/>
                                                <w:right w:val="none" w:sz="0" w:space="0" w:color="auto"/>
                                              </w:divBdr>
                                              <w:divsChild>
                                                <w:div w:id="1788355647">
                                                  <w:marLeft w:val="120"/>
                                                  <w:marRight w:val="120"/>
                                                  <w:marTop w:val="0"/>
                                                  <w:marBottom w:val="0"/>
                                                  <w:divBdr>
                                                    <w:top w:val="none" w:sz="0" w:space="0" w:color="auto"/>
                                                    <w:left w:val="none" w:sz="0" w:space="0" w:color="auto"/>
                                                    <w:bottom w:val="none" w:sz="0" w:space="0" w:color="auto"/>
                                                    <w:right w:val="none" w:sz="0" w:space="0" w:color="auto"/>
                                                  </w:divBdr>
                                                  <w:divsChild>
                                                    <w:div w:id="552274354">
                                                      <w:marLeft w:val="0"/>
                                                      <w:marRight w:val="0"/>
                                                      <w:marTop w:val="0"/>
                                                      <w:marBottom w:val="0"/>
                                                      <w:divBdr>
                                                        <w:top w:val="none" w:sz="0" w:space="0" w:color="auto"/>
                                                        <w:left w:val="none" w:sz="0" w:space="0" w:color="auto"/>
                                                        <w:bottom w:val="none" w:sz="0" w:space="0" w:color="auto"/>
                                                        <w:right w:val="none" w:sz="0" w:space="0" w:color="auto"/>
                                                      </w:divBdr>
                                                      <w:divsChild>
                                                        <w:div w:id="1756126666">
                                                          <w:marLeft w:val="0"/>
                                                          <w:marRight w:val="0"/>
                                                          <w:marTop w:val="0"/>
                                                          <w:marBottom w:val="0"/>
                                                          <w:divBdr>
                                                            <w:top w:val="none" w:sz="0" w:space="0" w:color="auto"/>
                                                            <w:left w:val="none" w:sz="0" w:space="0" w:color="auto"/>
                                                            <w:bottom w:val="none" w:sz="0" w:space="0" w:color="auto"/>
                                                            <w:right w:val="none" w:sz="0" w:space="0" w:color="auto"/>
                                                          </w:divBdr>
                                                          <w:divsChild>
                                                            <w:div w:id="1424257848">
                                                              <w:marLeft w:val="0"/>
                                                              <w:marRight w:val="0"/>
                                                              <w:marTop w:val="0"/>
                                                              <w:marBottom w:val="0"/>
                                                              <w:divBdr>
                                                                <w:top w:val="none" w:sz="0" w:space="0" w:color="auto"/>
                                                                <w:left w:val="none" w:sz="0" w:space="0" w:color="auto"/>
                                                                <w:bottom w:val="none" w:sz="0" w:space="0" w:color="auto"/>
                                                                <w:right w:val="none" w:sz="0" w:space="0" w:color="auto"/>
                                                              </w:divBdr>
                                                              <w:divsChild>
                                                                <w:div w:id="5064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rcot.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primarycareone.wales.nhs.uk/occupational-therapists" TargetMode="External"/><Relationship Id="rId2" Type="http://schemas.openxmlformats.org/officeDocument/2006/relationships/customXml" Target="../customXml/item2.xml"/><Relationship Id="rId16" Type="http://schemas.openxmlformats.org/officeDocument/2006/relationships/hyperlink" Target="https://www.england.nhs.uk/wp-content/uploads/2020/03/update-to-the-gp-contract-agreement-v2-updated.pdf%20accessed%2025/08/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ngland.nhs.uk/wp-content/uploads/2019/01/gp-contract-2019.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rcot.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A585D6D1521C546AA6586012DF6EA6C" ma:contentTypeVersion="0" ma:contentTypeDescription="Create a new document." ma:contentTypeScope="" ma:versionID="17d9533dfdd678b6115782d0661b7e66">
  <xsd:schema xmlns:xsd="http://www.w3.org/2001/XMLSchema" xmlns:xs="http://www.w3.org/2001/XMLSchema" xmlns:p="http://schemas.microsoft.com/office/2006/metadata/properties" xmlns:ns2="9a6456bd-dfb9-4e31-ab62-52dbdedb1b77" targetNamespace="http://schemas.microsoft.com/office/2006/metadata/properties" ma:root="true" ma:fieldsID="6c9a68b560ea23b8069003ae92914ca0" ns2:_="">
    <xsd:import namespace="9a6456bd-dfb9-4e31-ab62-52dbdedb1b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456bd-dfb9-4e31-ab62-52dbdedb1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6456bd-dfb9-4e31-ab62-52dbdedb1b77">SJ4V57URNYWD-2023-79</_dlc_DocId>
    <_dlc_DocIdUrl xmlns="9a6456bd-dfb9-4e31-ab62-52dbdedb1b77">
      <Url>http://connect.bdct.local/communications/_layouts/DocIdRedir.aspx?ID=SJ4V57URNYWD-2023-79</Url>
      <Description>SJ4V57URNYWD-2023-79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E118-FDFC-433F-B3D6-98F1384B6255}">
  <ds:schemaRefs>
    <ds:schemaRef ds:uri="http://schemas.microsoft.com/sharepoint/v3/contenttype/forms"/>
  </ds:schemaRefs>
</ds:datastoreItem>
</file>

<file path=customXml/itemProps2.xml><?xml version="1.0" encoding="utf-8"?>
<ds:datastoreItem xmlns:ds="http://schemas.openxmlformats.org/officeDocument/2006/customXml" ds:itemID="{336F1BF4-FC82-4E48-A63D-3C541DEDAF7A}">
  <ds:schemaRefs>
    <ds:schemaRef ds:uri="http://schemas.microsoft.com/sharepoint/events"/>
  </ds:schemaRefs>
</ds:datastoreItem>
</file>

<file path=customXml/itemProps3.xml><?xml version="1.0" encoding="utf-8"?>
<ds:datastoreItem xmlns:ds="http://schemas.openxmlformats.org/officeDocument/2006/customXml" ds:itemID="{25090D1D-49B7-41FE-959E-5B37D7994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456bd-dfb9-4e31-ab62-52dbdedb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17E1C-C608-4CF3-B35D-C13393A224AF}">
  <ds:schemaRefs>
    <ds:schemaRef ds:uri="http://schemas.microsoft.com/office/2006/metadata/properties"/>
    <ds:schemaRef ds:uri="http://schemas.microsoft.com/office/infopath/2007/PartnerControls"/>
    <ds:schemaRef ds:uri="9a6456bd-dfb9-4e31-ab62-52dbdedb1b77"/>
  </ds:schemaRefs>
</ds:datastoreItem>
</file>

<file path=customXml/itemProps5.xml><?xml version="1.0" encoding="utf-8"?>
<ds:datastoreItem xmlns:ds="http://schemas.openxmlformats.org/officeDocument/2006/customXml" ds:itemID="{5C0ADEFE-612A-4206-B711-F9323FEC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Bradford District Care Trust</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Mortimer</dc:creator>
  <cp:keywords/>
  <dc:description/>
  <cp:lastModifiedBy>Catherine Wright</cp:lastModifiedBy>
  <cp:revision>2</cp:revision>
  <cp:lastPrinted>2016-05-31T11:48:00Z</cp:lastPrinted>
  <dcterms:created xsi:type="dcterms:W3CDTF">2020-08-25T15:44:00Z</dcterms:created>
  <dcterms:modified xsi:type="dcterms:W3CDTF">2020-08-25T15:44:00Z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0x0101008A585D6D1521C546AA6586012DF6EA6C</vt:lpwstr>
  </property>
  <property fmtid="{D5CDD505-2E9C-101B-9397-08002B2CF9AE}" pid="3" name="_dlc_DocIdItemGuid">
    <vt:lpwstr>6e25d840-800f-4125-8c7d-8afe1eef93df</vt:lpwstr>
  </property>
</Properties>
</file>